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Standards</w:t>
      </w:r>
      <w:r>
        <w:t xml:space="preserve"> </w:t>
      </w:r>
      <w:r>
        <w:t xml:space="preserve">in</w:t>
      </w:r>
      <w:r>
        <w:t xml:space="preserve"> </w:t>
      </w:r>
      <w:r>
        <w:t xml:space="preserve">Australia</w:t>
      </w:r>
      <w:r>
        <w:t xml:space="preserve"> </w:t>
      </w:r>
      <w:r>
        <w:t xml:space="preserve">Melbourne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Practice Management of a Lawyer</w:t>
      </w:r>
    </w:p>
    <w:p>
      <w:pPr>
        <w:pStyle w:val="BodyText"/>
      </w:pPr>
      <w:r>
        <w:rPr>
          <w:bCs/>
          <w:b/>
        </w:rPr>
        <w:t xml:space="preserve">Jurisdiction:</w:t>
      </w:r>
      <w:r>
        <w:t xml:space="preserve"> </w:t>
      </w:r>
      <w:r>
        <w:t xml:space="preserve">Australia Melbourne (State of Victoria)</w:t>
      </w:r>
    </w:p>
    <w:bookmarkEnd w:id="20"/>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Legal Peer Review Panel</w:t>
      </w:r>
    </w:p>
    <w:p>
      <w:pPr>
        <w:pStyle w:val="BodyText"/>
      </w:pPr>
      <w:r>
        <w:rPr>
          <w:bCs/>
          <w:b/>
        </w:rPr>
        <w:t xml:space="preserve">Practitioner ID:</w:t>
      </w:r>
      <w:r>
        <w:t xml:space="preserve"> </w:t>
      </w:r>
      <w:r>
        <w:t xml:space="preserve">[REDACTED]</w:t>
      </w:r>
    </w:p>
    <w:p>
      <w:pPr>
        <w:pStyle w:val="BodyText"/>
      </w:pPr>
      <w:r>
        <w:rPr>
          <w:bCs/>
          <w:b/>
        </w:rPr>
        <w:t xml:space="preserve">Practice Area:</w:t>
      </w:r>
      <w:r>
        <w:t xml:space="preserve"> </w:t>
      </w:r>
      <w:r>
        <w:t xml:space="preserve">General Civil Litigation and Conveyancing</w:t>
      </w:r>
    </w:p>
    <w:p>
      <w:pPr>
        <w:pStyle w:val="BodyText"/>
      </w:pPr>
      <w:r>
        <w:rPr>
          <w:bCs/>
          <w:b/>
        </w:rPr>
        <w:t xml:space="preserve">Location of Practice:</w:t>
      </w:r>
      <w:r>
        <w:t xml:space="preserve"> </w:t>
      </w:r>
      <w:r>
        <w:t xml:space="preserve">Melbourne CBD, Victoria</w:t>
      </w:r>
    </w:p>
    <w:bookmarkStart w:id="21" w:name="introduction-and-scope"/>
    <w:p>
      <w:pPr>
        <w:pStyle w:val="Heading2"/>
      </w:pPr>
      <w:r>
        <w:t xml:space="preserve">1. Introduction and Scope</w:t>
      </w:r>
    </w:p>
    <w:p>
      <w:pPr>
        <w:pStyle w:val="FirstParagraph"/>
      </w:pPr>
      <w:r>
        <w:t xml:space="preserve">This Peer Review Report has been commissioned to evaluate the professional standards, ethical compliance, and operational efficiency of a Lawyer practicing within the jurisdiction of Australia Melbourne. The review is conducted in accordance with the guidelines set forth by the Legal Services Board and the Legal Services Commissioner of Victoria. The primary objective is to ensure that the legal services provided align with the high standards expected in the Australian legal market, specifically within the competitive and regulated environment of Melbourne.</w:t>
      </w:r>
    </w:p>
    <w:p>
      <w:pPr>
        <w:pStyle w:val="BodyText"/>
      </w:pPr>
      <w:r>
        <w:t xml:space="preserve">The scope of this review encompasses a comprehensive analysis of case file management, client communication protocols, billing transparency, and adherence to the Legal Profession Uniform Law (LPUL) applicable in Victoria. Given the specific nuances of practicing law in Australia Melbourne, this report also assesses the Lawyer's familiarity with local court procedures, including the Magistrates' Court of Victoria and the Supreme Court of Victoria.</w:t>
      </w:r>
    </w:p>
    <w:bookmarkEnd w:id="21"/>
    <w:bookmarkStart w:id="22" w:name="Xfd6c0bd97f3326077207f184e0151b9cadf8202"/>
    <w:p>
      <w:pPr>
        <w:pStyle w:val="Heading2"/>
      </w:pPr>
      <w:r>
        <w:t xml:space="preserve">2. Regulatory Compliance and Ethical Standards</w:t>
      </w:r>
    </w:p>
    <w:p>
      <w:pPr>
        <w:pStyle w:val="FirstParagraph"/>
      </w:pPr>
      <w:r>
        <w:t xml:space="preserve">A fundamental aspect of this Peer Review Report is the assessment of the Lawyer's adherence to the Code of Conduct for Australian Lawyers. The review confirms that the subject demonstrates a robust understanding of their fiduciary duties. In the context of Australia Melbourne, where legal regulations are strictly enforced, the Lawyer has maintained impeccable records regarding conflict of interest checks.</w:t>
      </w:r>
    </w:p>
    <w:p>
      <w:pPr>
        <w:pStyle w:val="BodyText"/>
      </w:pPr>
      <w:r>
        <w:t xml:space="preserve">The review highlights that the Lawyer consistently prioritizes client confidentiality, a cornerstone of the solicitor-client relationship in Australia. Furthermore, the handling of trust accounts was scrutinized against the Trust Accounts Regulations 2014 (Vic). The findings indicate that the Lawyer maintains a strict separation between client funds and operational capital, ensuring full compliance with Victorian regulatory requirements. This level of diligence is essential for maintaining public trust in the legal profession within Melbourne.</w:t>
      </w:r>
    </w:p>
    <w:bookmarkEnd w:id="22"/>
    <w:bookmarkStart w:id="23" w:name="X8c980fe0855422987ffe9c5a50be9405dbd241e"/>
    <w:p>
      <w:pPr>
        <w:pStyle w:val="Heading2"/>
      </w:pPr>
      <w:r>
        <w:t xml:space="preserve">3. Quality of Legal Work and Case Management</w:t>
      </w:r>
    </w:p>
    <w:p>
      <w:pPr>
        <w:pStyle w:val="FirstParagraph"/>
      </w:pPr>
      <w:r>
        <w:t xml:space="preserve">The core of this Peer Review Report focuses on the substantive quality of the legal work produced by the Lawyer. A random sample of twenty case files was examined, covering diverse areas such as property law, family law, and commercial disputes. The analysis reveals that the Lawyer possesses a strong command of Australian common law and statutory interpretation.</w:t>
      </w:r>
    </w:p>
    <w:p>
      <w:pPr>
        <w:pStyle w:val="BodyText"/>
      </w:pPr>
      <w:r>
        <w:t xml:space="preserve">In the realm of litigation, the Lawyer demonstrates proficiency in drafting pleadings and submissions that are tailored to the specific expectations of judges in Australia Melbourne. The review notes that the Lawyer effectively utilizes local rules of court to manage timelines and procedural requirements. This local expertise is critical, as the legal landscape in Melbourne can differ significantly from other Australian jurisdictions in terms of procedural nuances and judicial preferences.</w:t>
      </w:r>
    </w:p>
    <w:p>
      <w:pPr>
        <w:pStyle w:val="BodyText"/>
      </w:pPr>
      <w:r>
        <w:t xml:space="preserve">However, the report identifies an area for improvement regarding case file organization. While the legal arguments are sound, the physical and digital filing systems could be optimized to enhance retrieval efficiency. Implementing a more structured digital case management system would benefit the Lawyer, particularly when handling high-volume matters common in the Melbourne metropolitan area.</w:t>
      </w:r>
    </w:p>
    <w:bookmarkEnd w:id="23"/>
    <w:bookmarkStart w:id="24" w:name="X0aa081500259e57860e9b7ba8ba005653ef0f89"/>
    <w:p>
      <w:pPr>
        <w:pStyle w:val="Heading2"/>
      </w:pPr>
      <w:r>
        <w:t xml:space="preserve">4. Client Communication and Service Delivery</w:t>
      </w:r>
    </w:p>
    <w:p>
      <w:pPr>
        <w:pStyle w:val="FirstParagraph"/>
      </w:pPr>
      <w:r>
        <w:t xml:space="preserve">Effective communication is a vital component of legal practice in Australia Melbourne, where clients expect transparency and regular updates. This Peer Review Report assesses the Lawyer's ability to communicate complex legal concepts in clear, accessible language. The findings suggest that the Lawyer is generally responsive and empathetic, fostering strong client relationships.</w:t>
      </w:r>
    </w:p>
    <w:p>
      <w:pPr>
        <w:pStyle w:val="BodyText"/>
      </w:pPr>
      <w:r>
        <w:t xml:space="preserve">The review examined client feedback forms and correspondence logs. It was observed that the Lawyer provides timely updates regarding case progress, which is crucial for managing client expectations. However, there were instances where billing explanations lacked sufficient detail. To align with best practices in Australia Melbourne, the Lawyer should ensure that all invoices provide a granular breakdown of time spent and tasks performed, thereby enhancing transparency and reducing potential disputes over fees.</w:t>
      </w:r>
    </w:p>
    <w:bookmarkEnd w:id="24"/>
    <w:bookmarkStart w:id="25" w:name="Xb37de5b4191a7eb83c1cc4758fac34b3b558f6d"/>
    <w:p>
      <w:pPr>
        <w:pStyle w:val="Heading2"/>
      </w:pPr>
      <w:r>
        <w:t xml:space="preserve">5. Professional Development and Continuing Education</w:t>
      </w:r>
    </w:p>
    <w:p>
      <w:pPr>
        <w:pStyle w:val="FirstParagraph"/>
      </w:pPr>
      <w:r>
        <w:t xml:space="preserve">The legal landscape in Australia is dynamic, requiring Lawyers to engage in continuous professional development (CPD). This Peer Review Report confirms that the subject has met the mandatory CPD requirements set by the Law Institute of Victoria (LIV). The Lawyer has actively participated in seminars and workshops relevant to their practice areas, demonstrating a commitment to staying current with legislative changes and case law developments in Australia Melbourne.</w:t>
      </w:r>
    </w:p>
    <w:p>
      <w:pPr>
        <w:pStyle w:val="BodyText"/>
      </w:pPr>
      <w:r>
        <w:t xml:space="preserve">The report encourages the Lawyer to further specialize in emerging areas of law, such as digital privacy and technology law, which are increasingly relevant in Melbourne's growing tech sector. This strategic focus could enhance the Lawyer's competitive edge and service offering within the local market.</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Lawyer operates at a high standard of professional competence and ethical integrity. The review validates that the legal services provided are consistent with the expectations of the legal community in Australia Melbourne. The Lawyer demonstrates a strong grasp of local laws, court procedures, and client needs.</w:t>
      </w:r>
    </w:p>
    <w:p>
      <w:pPr>
        <w:pStyle w:val="BodyText"/>
      </w:pPr>
      <w:r>
        <w:t xml:space="preserve">To further enhance their practice, the following recommendations are made:</w:t>
      </w:r>
    </w:p>
    <w:p>
      <w:pPr>
        <w:numPr>
          <w:ilvl w:val="0"/>
          <w:numId w:val="1001"/>
        </w:numPr>
        <w:pStyle w:val="Compact"/>
      </w:pPr>
      <w:r>
        <w:t xml:space="preserve">Implement a comprehensive digital case management system to improve file organization and efficiency.</w:t>
      </w:r>
    </w:p>
    <w:p>
      <w:pPr>
        <w:numPr>
          <w:ilvl w:val="0"/>
          <w:numId w:val="1001"/>
        </w:numPr>
        <w:pStyle w:val="Compact"/>
      </w:pPr>
      <w:r>
        <w:t xml:space="preserve">Enhance billing transparency by providing detailed explanations for all charges to clients.</w:t>
      </w:r>
    </w:p>
    <w:p>
      <w:pPr>
        <w:numPr>
          <w:ilvl w:val="0"/>
          <w:numId w:val="1001"/>
        </w:numPr>
        <w:pStyle w:val="Compact"/>
      </w:pPr>
      <w:r>
        <w:t xml:space="preserve">Pursue additional specialization in niche areas of law relevant to the Melbourne market.</w:t>
      </w:r>
    </w:p>
    <w:p>
      <w:pPr>
        <w:pStyle w:val="FirstParagraph"/>
      </w:pPr>
      <w:r>
        <w:t xml:space="preserve">Overall, the Lawyer is deemed fit to continue practicing in Australia Melbourne, with the understanding that the recommended improvements will be implemented to maintain the highest standards of legal service.</w:t>
      </w:r>
    </w:p>
    <w:p>
      <w:pPr>
        <w:pStyle w:val="BodyText"/>
      </w:pPr>
      <w:r>
        <w:rPr>
          <w:bCs/>
          <w:b/>
        </w:rPr>
        <w:t xml:space="preserve">Prepared by:</w:t>
      </w:r>
    </w:p>
    <w:p>
      <w:pPr>
        <w:pStyle w:val="BodyText"/>
      </w:pPr>
      <w:r>
        <w:t xml:space="preserve">Senior Peer Reviewer</w:t>
      </w:r>
    </w:p>
    <w:p>
      <w:pPr>
        <w:pStyle w:val="BodyText"/>
      </w:pPr>
      <w:r>
        <w:t xml:space="preserve">Independent Legal Peer Review Panel</w:t>
      </w:r>
    </w:p>
    <w:p>
      <w:pPr>
        <w:pStyle w:val="BodyText"/>
      </w:pPr>
      <w:r>
        <w:t xml:space="preserve">Melbourne, Victoria, Australia</w:t>
      </w:r>
    </w:p>
    <w:p>
      <w:pPr>
        <w:pStyle w:val="BodyText"/>
      </w:pPr>
      <w:r>
        <w:t xml:space="preserve">This document is a confidential Peer Review Report intended solely for the use of the subject Lawyer and the relevant regulatory bodies in Australia Melbourne.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Standards in Australia Melbourne</dc:title>
  <dc:creator/>
  <dc:language>en</dc:language>
  <cp:keywords/>
  <dcterms:created xsi:type="dcterms:W3CDTF">2026-10-10T04:47:26Z</dcterms:created>
  <dcterms:modified xsi:type="dcterms:W3CDTF">2026-10-10T04:47:26Z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