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t xml:space="preserve">Independent Assessment of Professional Competence and Practice Management</w:t>
      </w:r>
    </w:p>
    <w:bookmarkEnd w:id="20"/>
    <w:p>
      <w:pPr>
        <w:pStyle w:val="BodyText"/>
      </w:pPr>
      <w:r>
        <w:rPr>
          <w:bCs/>
          <w:b/>
        </w:rPr>
        <w:t xml:space="preserve">Subject:</w:t>
      </w:r>
      <w:r>
        <w:t xml:space="preserve"> </w:t>
      </w:r>
      <w:r>
        <w:t xml:space="preserve">Comprehensive Peer Review of Legal Practice Standards</w:t>
      </w:r>
    </w:p>
    <w:p>
      <w:pPr>
        <w:pStyle w:val="BodyText"/>
      </w:pPr>
      <w:r>
        <w:rPr>
          <w:bCs/>
          <w:b/>
        </w:rPr>
        <w:t xml:space="preserve">Role Under Review:</w:t>
      </w:r>
      <w:r>
        <w:t xml:space="preserve"> </w:t>
      </w:r>
      <w:r>
        <w:t xml:space="preserve">Lawyer (Solicitor and/or Barrister)</w:t>
      </w:r>
    </w:p>
    <w:p>
      <w:pPr>
        <w:pStyle w:val="BodyText"/>
      </w:pPr>
      <w:r>
        <w:rPr>
          <w:bCs/>
          <w:b/>
        </w:rPr>
        <w:t xml:space="preserve">Jurisdiction:</w:t>
      </w:r>
      <w:r>
        <w:t xml:space="preserve"> </w:t>
      </w:r>
      <w:r>
        <w:t xml:space="preserve">Australia Sydney (New South Wales)</w:t>
      </w:r>
    </w:p>
    <w:p>
      <w:pPr>
        <w:pStyle w:val="BodyText"/>
      </w:pPr>
      <w:r>
        <w:rPr>
          <w:bCs/>
          <w:b/>
        </w:rPr>
        <w:t xml:space="preserve">Date of Report:</w:t>
      </w:r>
      <w:r>
        <w:t xml:space="preserve"> </w:t>
      </w:r>
      <w:r>
        <w:t xml:space="preserve">October 24, 2023</w:t>
      </w:r>
    </w:p>
    <w:p>
      <w:pPr>
        <w:pStyle w:val="BodyText"/>
      </w:pPr>
      <w:r>
        <w:rPr>
          <w:bCs/>
          <w:b/>
        </w:rPr>
        <w:t xml:space="preserve">Regulatory Framework:</w:t>
      </w:r>
      <w:r>
        <w:t xml:space="preserve"> </w:t>
      </w:r>
      <w:r>
        <w:t xml:space="preserve">Legal Profession Uniform Law (NSW) &amp; Law Society of NSW Guidelines</w:t>
      </w:r>
    </w:p>
    <w:bookmarkStart w:id="21" w:name="executive-summary"/>
    <w:p>
      <w:pPr>
        <w:pStyle w:val="Heading2"/>
      </w:pPr>
      <w:r>
        <w:t xml:space="preserve">1. Executive Summary</w:t>
      </w:r>
    </w:p>
    <w:p>
      <w:pPr>
        <w:pStyle w:val="FirstParagraph"/>
      </w:pPr>
      <w:r>
        <w:t xml:space="preserve">This Peer Review Report has been commissioned to evaluate the professional conduct, technical competence, and practice management systems of a Lawyer operating within the jurisdiction of Australia Sydney. The legal landscape in Sydney is characterized by high complexity, rigorous regulatory oversight, and a demanding client base. Consequently, this review aims to ensure that the subject Lawyer adheres to the highest standards of ethical behavior and legal proficiency required by the New South Wales Supreme Court and the Law Society of New South Wales.</w:t>
      </w:r>
    </w:p>
    <w:p>
      <w:pPr>
        <w:pStyle w:val="BodyText"/>
      </w:pPr>
      <w:r>
        <w:t xml:space="preserve">The assessment covers critical areas including conflict of interest checks, trust account management, client care, and the quality of legal advice provided. The findings presented herein are based on a detailed audit of case files, interviews with staff, and a review of operational protocols. The overarching goal is to identify strengths, mitigate risks, and ensure continuous improvement in the delivery of legal services in Australia Sydney.</w:t>
      </w:r>
    </w:p>
    <w:bookmarkEnd w:id="21"/>
    <w:bookmarkStart w:id="22" w:name="introduction-and-scope"/>
    <w:p>
      <w:pPr>
        <w:pStyle w:val="Heading2"/>
      </w:pPr>
      <w:r>
        <w:t xml:space="preserve">2. Introduction and Scope</w:t>
      </w:r>
    </w:p>
    <w:p>
      <w:pPr>
        <w:pStyle w:val="FirstParagraph"/>
      </w:pPr>
      <w:r>
        <w:t xml:space="preserve">The role of a Lawyer in Australia Sydney extends beyond mere legal representation; it involves a fiduciary duty to clients and a professional obligation to the administration of justice. This Peer Review Report focuses on the practical application of the</w:t>
      </w:r>
      <w:r>
        <w:t xml:space="preserve"> </w:t>
      </w:r>
      <w:r>
        <w:rPr>
          <w:iCs/>
          <w:i/>
        </w:rPr>
        <w:t xml:space="preserve">Legal Profession Uniform Law (NSW)</w:t>
      </w:r>
      <w:r>
        <w:t xml:space="preserve"> </w:t>
      </w:r>
      <w:r>
        <w:t xml:space="preserve">and the</w:t>
      </w:r>
      <w:r>
        <w:t xml:space="preserve"> </w:t>
      </w:r>
      <w:r>
        <w:rPr>
          <w:iCs/>
          <w:i/>
        </w:rPr>
        <w:t xml:space="preserve">Legal Profession Uniform Conduct (Solicitors) Rules 2015</w:t>
      </w:r>
      <w:r>
        <w:t xml:space="preserve">.</w:t>
      </w:r>
    </w:p>
    <w:p>
      <w:pPr>
        <w:pStyle w:val="BodyText"/>
      </w:pPr>
      <w:r>
        <w:t xml:space="preserve">The scope of this review is comprehensive. It examines the Lawyer’s ability to navigate the specific procedural requirements of the NSW Courts, including the Local Court, District Court, and Supreme Court of New South Wales. Furthermore, it assesses the Lawyer’s adherence to the mandatory continuing professional development (CPD) requirements and their engagement with the broader legal community in Sydney. The review is designed to be constructive, providing actionable recommendations to enhance the Lawyer’s practice while ensuring compliance with local regulations.</w:t>
      </w:r>
    </w:p>
    <w:bookmarkEnd w:id="22"/>
    <w:bookmarkStart w:id="25" w:name="assessment-of-professional-competence"/>
    <w:p>
      <w:pPr>
        <w:pStyle w:val="Heading2"/>
      </w:pPr>
      <w:r>
        <w:t xml:space="preserve">3. Assessment of Professional Competence</w:t>
      </w:r>
    </w:p>
    <w:bookmarkStart w:id="23" w:name="technical-knowledge-and-application"/>
    <w:p>
      <w:pPr>
        <w:pStyle w:val="Heading3"/>
      </w:pPr>
      <w:r>
        <w:t xml:space="preserve">3.1 Technical Knowledge and Application</w:t>
      </w:r>
    </w:p>
    <w:p>
      <w:pPr>
        <w:pStyle w:val="FirstParagraph"/>
      </w:pPr>
      <w:r>
        <w:t xml:space="preserve">A primary criterion for this Peer Review Report is the Lawyer’s technical knowledge. In the context of Australia Sydney, legal practitioners must possess an up-to-date understanding of both Commonwealth and State legislation. The review indicates that the Lawyer demonstrates a strong command of substantive law relevant to their practice area. However, the report notes the necessity for constant vigilance regarding recent judicial decisions from the NSW Court of Appeal, which frequently set precedents that impact local practice.</w:t>
      </w:r>
    </w:p>
    <w:p>
      <w:pPr>
        <w:pStyle w:val="BodyText"/>
      </w:pPr>
      <w:r>
        <w:t xml:space="preserve">The Lawyer’s ability to draft legal documents, including pleadings, contracts, and affidavits, was scrutinized. The quality of drafting is generally high, reflecting the professional standards expected in Sydney’s competitive legal market. Nevertheless, the report recommends implementing a secondary review process for complex litigation documents to minimize the risk of procedural errors, which can be costly in the NSW court system.</w:t>
      </w:r>
    </w:p>
    <w:bookmarkEnd w:id="23"/>
    <w:bookmarkStart w:id="24" w:name="client-care-and-communication"/>
    <w:p>
      <w:pPr>
        <w:pStyle w:val="Heading3"/>
      </w:pPr>
      <w:r>
        <w:t xml:space="preserve">3.2 Client Care and Communication</w:t>
      </w:r>
    </w:p>
    <w:p>
      <w:pPr>
        <w:pStyle w:val="FirstParagraph"/>
      </w:pPr>
      <w:r>
        <w:t xml:space="preserve">Effective communication is paramount for a Lawyer in Australia Sydney, where clients often expect rapid responses due to the fast-paced nature of the city’s business environment. This Peer Review Report evaluates the Lawyer’s protocols for client intake, conflict checks, and ongoing communication.</w:t>
      </w:r>
    </w:p>
    <w:p>
      <w:pPr>
        <w:pStyle w:val="BodyText"/>
      </w:pPr>
      <w:r>
        <w:t xml:space="preserve">The review found that the Lawyer maintains clear engagement letters that outline the scope of work and fee structures, which is a critical requirement under the Uniform Law. However, there is room for improvement in documenting client instructions. The report advises the Lawyer to adopt more robust file note practices to ensure that all client interactions are accurately recorded. This is essential not only for quality assurance but also for protecting the Lawyer against potential professional negligence claims.</w:t>
      </w:r>
    </w:p>
    <w:bookmarkEnd w:id="24"/>
    <w:bookmarkEnd w:id="25"/>
    <w:bookmarkStart w:id="28" w:name="practice-management-and-risk-control"/>
    <w:p>
      <w:pPr>
        <w:pStyle w:val="Heading2"/>
      </w:pPr>
      <w:r>
        <w:t xml:space="preserve">4. Practice Management and Risk Control</w:t>
      </w:r>
    </w:p>
    <w:bookmarkStart w:id="26" w:name="trust-account-management"/>
    <w:p>
      <w:pPr>
        <w:pStyle w:val="Heading3"/>
      </w:pPr>
      <w:r>
        <w:t xml:space="preserve">4.1 Trust Account Management</w:t>
      </w:r>
    </w:p>
    <w:p>
      <w:pPr>
        <w:pStyle w:val="FirstParagraph"/>
      </w:pPr>
      <w:r>
        <w:t xml:space="preserve">One of the most critical aspects of this Peer Review Report is the examination of trust account management. In New South Wales, the mismanagement of client funds is a serious offense that can lead to disbarment. The Lawyer’s trust accounting procedures were audited against the</w:t>
      </w:r>
      <w:r>
        <w:t xml:space="preserve"> </w:t>
      </w:r>
      <w:r>
        <w:rPr>
          <w:iCs/>
          <w:i/>
        </w:rPr>
        <w:t xml:space="preserve">Legal Profession Uniform Law Application Act 2014</w:t>
      </w:r>
      <w:r>
        <w:t xml:space="preserve">.</w:t>
      </w:r>
    </w:p>
    <w:p>
      <w:pPr>
        <w:pStyle w:val="BodyText"/>
      </w:pPr>
      <w:r>
        <w:t xml:space="preserve">The review confirms that the Lawyer maintains separate trust accounts for client funds and ensures that reconciliations are performed monthly. However, the report recommends enhancing internal controls by introducing dual authorization for significant withdrawals. This additional layer of security is particularly important for a Lawyer operating in a high-volume jurisdiction like Australia Sydney, where the risk of error or fraud is elevated.</w:t>
      </w:r>
    </w:p>
    <w:bookmarkEnd w:id="26"/>
    <w:bookmarkStart w:id="27" w:name="conflict-of-interest-protocols"/>
    <w:p>
      <w:pPr>
        <w:pStyle w:val="Heading3"/>
      </w:pPr>
      <w:r>
        <w:t xml:space="preserve">4.2 Conflict of Interest Protocols</w:t>
      </w:r>
    </w:p>
    <w:p>
      <w:pPr>
        <w:pStyle w:val="FirstParagraph"/>
      </w:pPr>
      <w:r>
        <w:t xml:space="preserve">Given the interconnected nature of the legal and business communities in Australia Sydney, conflict of interest checks are vital. This Peer Review Report assesses the Lawyer’s systems for identifying actual and potential conflicts. The current system is adequate but relies heavily on manual searches. The report strongly recommends the implementation of automated conflict checking software to ensure comprehensive coverage of all potential conflicts, including those involving related entities and former clients.</w:t>
      </w:r>
    </w:p>
    <w:bookmarkEnd w:id="27"/>
    <w:bookmarkEnd w:id="28"/>
    <w:bookmarkStart w:id="29" w:name="X4ce211acb8b02978b825403f312638d11fa1afd"/>
    <w:p>
      <w:pPr>
        <w:pStyle w:val="Heading2"/>
      </w:pPr>
      <w:r>
        <w:t xml:space="preserve">5. Ethical Standards and Professional Conduct</w:t>
      </w:r>
    </w:p>
    <w:p>
      <w:pPr>
        <w:pStyle w:val="FirstParagraph"/>
      </w:pPr>
      <w:r>
        <w:t xml:space="preserve">The ethical conduct of a Lawyer is the cornerstone of the legal profession. This Peer Review Report evaluates the Lawyer’s adherence to the core ethical principles of honesty, integrity, and independence. The review found no evidence of unethical behavior. The Lawyer demonstrates a strong commitment to acting in the best interests of their clients while respecting the rules of the court.</w:t>
      </w:r>
    </w:p>
    <w:p>
      <w:pPr>
        <w:pStyle w:val="BodyText"/>
      </w:pPr>
      <w:r>
        <w:t xml:space="preserve">However, the report highlights the importance of ongoing ethical training. The legal landscape in Australia Sydney is evolving, with new challenges arising from technology and data privacy. The Lawyer is encouraged to participate in regular ethics workshops organized by the Law Society of New South Wales to stay informed about emerging ethical issues.</w:t>
      </w:r>
    </w:p>
    <w:bookmarkEnd w:id="29"/>
    <w:bookmarkStart w:id="30" w:name="recommendations-and-conclusion"/>
    <w:p>
      <w:pPr>
        <w:pStyle w:val="Heading2"/>
      </w:pPr>
      <w:r>
        <w:t xml:space="preserve">6. Recommendations and Conclusion</w:t>
      </w:r>
    </w:p>
    <w:p>
      <w:pPr>
        <w:pStyle w:val="FirstParagraph"/>
      </w:pPr>
      <w:r>
        <w:t xml:space="preserve">In conclusion, this Peer Review Report provides a detailed assessment of the Lawyer’s practice in Australia Sydney. While the Lawyer demonstrates a high level of competence and professionalism, there are several areas where improvements can be made to enhance the quality of service and mitigate risks.</w:t>
      </w:r>
    </w:p>
    <w:p>
      <w:pPr>
        <w:numPr>
          <w:ilvl w:val="0"/>
          <w:numId w:val="1001"/>
        </w:numPr>
        <w:pStyle w:val="Compact"/>
      </w:pPr>
      <w:r>
        <w:rPr>
          <w:bCs/>
          <w:b/>
        </w:rPr>
        <w:t xml:space="preserve">Implement Automated Conflict Checks:</w:t>
      </w:r>
      <w:r>
        <w:t xml:space="preserve"> </w:t>
      </w:r>
      <w:r>
        <w:t xml:space="preserve">Upgrade current systems to ensure comprehensive conflict detection.</w:t>
      </w:r>
    </w:p>
    <w:p>
      <w:pPr>
        <w:numPr>
          <w:ilvl w:val="0"/>
          <w:numId w:val="1001"/>
        </w:numPr>
        <w:pStyle w:val="Compact"/>
      </w:pPr>
      <w:r>
        <w:rPr>
          <w:bCs/>
          <w:b/>
        </w:rPr>
        <w:t xml:space="preserve">Enhance Trust Account Controls:</w:t>
      </w:r>
      <w:r>
        <w:t xml:space="preserve"> </w:t>
      </w:r>
      <w:r>
        <w:t xml:space="preserve">Introduce dual authorization for significant transactions.</w:t>
      </w:r>
    </w:p>
    <w:p>
      <w:pPr>
        <w:numPr>
          <w:ilvl w:val="0"/>
          <w:numId w:val="1001"/>
        </w:numPr>
        <w:pStyle w:val="Compact"/>
      </w:pPr>
      <w:r>
        <w:rPr>
          <w:bCs/>
          <w:b/>
        </w:rPr>
        <w:t xml:space="preserve">Improve File Note Practices:</w:t>
      </w:r>
      <w:r>
        <w:t xml:space="preserve"> </w:t>
      </w:r>
      <w:r>
        <w:t xml:space="preserve">Ensure all client interactions are meticulously documented.</w:t>
      </w:r>
    </w:p>
    <w:p>
      <w:pPr>
        <w:numPr>
          <w:ilvl w:val="0"/>
          <w:numId w:val="1001"/>
        </w:numPr>
        <w:pStyle w:val="Compact"/>
      </w:pPr>
      <w:r>
        <w:rPr>
          <w:bCs/>
          <w:b/>
        </w:rPr>
        <w:t xml:space="preserve">Continuous Professional Development:</w:t>
      </w:r>
      <w:r>
        <w:t xml:space="preserve"> </w:t>
      </w:r>
      <w:r>
        <w:t xml:space="preserve">Engage in regular training on ethics and recent legal developments in NSW.</w:t>
      </w:r>
    </w:p>
    <w:p>
      <w:pPr>
        <w:pStyle w:val="FirstParagraph"/>
      </w:pPr>
      <w:r>
        <w:t xml:space="preserve">By addressing these recommendations, the Lawyer will not only comply with the regulatory requirements of Australia Sydney but also elevate their practice to meet the highest standards of the legal profession. This Peer Review Report serves as a roadmap for ongoing improvement and excellence in legal practice.</w:t>
      </w:r>
    </w:p>
    <w:p>
      <w:pPr>
        <w:pStyle w:val="BodyText"/>
      </w:pPr>
      <w:r>
        <w:rPr>
          <w:bCs/>
          <w:b/>
        </w:rPr>
        <w:t xml:space="preserve">Prepared by:</w:t>
      </w:r>
    </w:p>
    <w:p>
      <w:pPr>
        <w:pStyle w:val="BodyText"/>
      </w:pPr>
      <w:r>
        <w:t xml:space="preserve">Senior Peer Reviewer</w:t>
      </w:r>
    </w:p>
    <w:p>
      <w:pPr>
        <w:pStyle w:val="BodyText"/>
      </w:pPr>
      <w:r>
        <w:t xml:space="preserve">Legal Practice Standards Committee</w:t>
      </w:r>
    </w:p>
    <w:p>
      <w:pPr>
        <w:pStyle w:val="BodyText"/>
      </w:pPr>
      <w:r>
        <w:t xml:space="preserve">Australia Sydney</w:t>
      </w:r>
    </w:p>
    <w:p>
      <w:pPr>
        <w:pStyle w:val="BodyText"/>
      </w:pPr>
      <w:r>
        <w:t xml:space="preserve">© 2023 Peer Review Report. Confidential Document. Intended for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Australia Sydney</dc:title>
  <dc:creator/>
  <dc:language>en</dc:language>
  <cp:keywords/>
  <dcterms:created xsi:type="dcterms:W3CDTF">2026-10-10T03:18:32Z</dcterms:created>
  <dcterms:modified xsi:type="dcterms:W3CDTF">2026-10-10T03:18:32Z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