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Standards</w:t>
      </w:r>
      <w:r>
        <w:t xml:space="preserve"> </w:t>
      </w:r>
      <w:r>
        <w:t xml:space="preserve">in</w:t>
      </w:r>
      <w:r>
        <w:t xml:space="preserve"> </w:t>
      </w:r>
      <w:r>
        <w:t xml:space="preserve">Bangladesh</w:t>
      </w:r>
      <w:r>
        <w:t xml:space="preserve"> </w:t>
      </w:r>
      <w:r>
        <w:t xml:space="preserve">Dhaka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of a Lawyer</w:t>
      </w:r>
      <w:r>
        <w:br/>
      </w:r>
      <w:r>
        <w:rPr>
          <w:bCs/>
          <w:b/>
        </w:rPr>
        <w:t xml:space="preserve">Location:</w:t>
      </w:r>
      <w:r>
        <w:t xml:space="preserve"> </w:t>
      </w:r>
      <w:r>
        <w:t xml:space="preserve">Bangladesh Dhaka</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Dhaka Bar Association Ethics Committee</w:t>
      </w:r>
      <w:r>
        <w:br/>
      </w:r>
      <w:r>
        <w:rPr>
          <w:bCs/>
          <w:b/>
        </w:rPr>
        <w:t xml:space="preserve">Status:</w:t>
      </w:r>
      <w:r>
        <w:t xml:space="preserve"> </w:t>
      </w:r>
      <w:r>
        <w:t xml:space="preserve">Final Assessment</w:t>
      </w:r>
    </w:p>
    <w:bookmarkStart w:id="26" w:name="Xaf9b0b2b012de3f76c5116d9d556d1fc26f1a9b"/>
    <w:p>
      <w:pPr>
        <w:pStyle w:val="Heading1"/>
      </w:pPr>
      <w:r>
        <w:t xml:space="preserve">Peer Review Report: Evaluation of Legal Practice Standards</w:t>
      </w:r>
    </w:p>
    <w:p>
      <w:pPr>
        <w:pStyle w:val="FirstParagraph"/>
      </w:pPr>
      <w:r>
        <w:t xml:space="preserve">This document serves as a comprehensive</w:t>
      </w:r>
      <w:r>
        <w:t xml:space="preserve"> </w:t>
      </w:r>
      <w:r>
        <w:rPr>
          <w:bCs/>
          <w:b/>
        </w:rPr>
        <w:t xml:space="preserve">Peer Review Report</w:t>
      </w:r>
      <w:r>
        <w:t xml:space="preserve"> </w:t>
      </w:r>
      <w:r>
        <w:t xml:space="preserve">concerning the professional conduct, legal acumen, and ethical adherence of a practicing</w:t>
      </w:r>
      <w:r>
        <w:t xml:space="preserve"> </w:t>
      </w:r>
      <w:r>
        <w:rPr>
          <w:bCs/>
          <w:b/>
        </w:rPr>
        <w:t xml:space="preserve">Lawyer</w:t>
      </w:r>
      <w:r>
        <w:t xml:space="preserve"> </w:t>
      </w:r>
      <w:r>
        <w:t xml:space="preserve">within the jurisdiction of</w:t>
      </w:r>
      <w:r>
        <w:t xml:space="preserve"> </w:t>
      </w:r>
      <w:r>
        <w:rPr>
          <w:bCs/>
          <w:b/>
        </w:rPr>
        <w:t xml:space="preserve">Bangladesh Dhaka</w:t>
      </w:r>
      <w:r>
        <w:t xml:space="preserve">. The purpose of this review is to assess the quality of legal services provided, ensuring alignment with the Advocates Act, 1961, and the Code of Conduct for Advocates prescribed by the Bangladesh Bar Council. Given the dynamic and complex nature of the legal landscape in the capital city, this report aims to provide a rigorous analysis of the subject's performance in high-stakes litigation, corporate advisory, and client relations.</w:t>
      </w:r>
    </w:p>
    <w:bookmarkStart w:id="20" w:name="introduction-and-scope-of-review"/>
    <w:p>
      <w:pPr>
        <w:pStyle w:val="Heading2"/>
      </w:pPr>
      <w:r>
        <w:t xml:space="preserve">1. Introduction and Scope of Review</w:t>
      </w:r>
    </w:p>
    <w:p>
      <w:pPr>
        <w:pStyle w:val="FirstParagraph"/>
      </w:pPr>
      <w:r>
        <w:t xml:space="preserve">The legal profession in</w:t>
      </w:r>
      <w:r>
        <w:t xml:space="preserve"> </w:t>
      </w:r>
      <w:r>
        <w:rPr>
          <w:bCs/>
          <w:b/>
        </w:rPr>
        <w:t xml:space="preserve">Bangladesh Dhaka</w:t>
      </w:r>
      <w:r>
        <w:t xml:space="preserve"> </w:t>
      </w:r>
      <w:r>
        <w:t xml:space="preserve">is characterized by a high volume of cases, ranging from constitutional matters heard in the Appellate Division of the Supreme Court to intricate commercial disputes in the Dhaka District Courts. This</w:t>
      </w:r>
      <w:r>
        <w:t xml:space="preserve"> </w:t>
      </w:r>
      <w:r>
        <w:rPr>
          <w:bCs/>
          <w:b/>
        </w:rPr>
        <w:t xml:space="preserve">Peer Review Report</w:t>
      </w:r>
      <w:r>
        <w:t xml:space="preserve"> </w:t>
      </w:r>
      <w:r>
        <w:t xml:space="preserve">focuses on a specific</w:t>
      </w:r>
      <w:r>
        <w:t xml:space="preserve"> </w:t>
      </w:r>
      <w:r>
        <w:rPr>
          <w:bCs/>
          <w:b/>
        </w:rPr>
        <w:t xml:space="preserve">Lawyer</w:t>
      </w:r>
      <w:r>
        <w:t xml:space="preserve"> </w:t>
      </w:r>
      <w:r>
        <w:t xml:space="preserve">who has been selected for evaluation based on a random audit of case files and client feedback mechanisms. The scope of this review encompasses the period from January 2022 to December 2022. The assessment criteria include procedural compliance, substantive legal knowledge, ethical integrity, and the efficiency of case management within the bustling judicial environment of Dhaka.</w:t>
      </w:r>
    </w:p>
    <w:bookmarkEnd w:id="20"/>
    <w:bookmarkStart w:id="21" w:name="Xbe5a523aa5db52e21350ab665ee2bb772219688"/>
    <w:p>
      <w:pPr>
        <w:pStyle w:val="Heading2"/>
      </w:pPr>
      <w:r>
        <w:t xml:space="preserve">2. Assessment of Legal Competence and Substantive Knowledge</w:t>
      </w:r>
    </w:p>
    <w:p>
      <w:pPr>
        <w:pStyle w:val="FirstParagraph"/>
      </w:pPr>
      <w:r>
        <w:t xml:space="preserve">A primary focus of this</w:t>
      </w:r>
      <w:r>
        <w:t xml:space="preserve"> </w:t>
      </w:r>
      <w:r>
        <w:rPr>
          <w:bCs/>
          <w:b/>
        </w:rPr>
        <w:t xml:space="preserve">Peer Review Report</w:t>
      </w:r>
      <w:r>
        <w:t xml:space="preserve"> </w:t>
      </w:r>
      <w:r>
        <w:t xml:space="preserve">is the demonstration of legal expertise by the</w:t>
      </w:r>
      <w:r>
        <w:t xml:space="preserve"> </w:t>
      </w:r>
      <w:r>
        <w:rPr>
          <w:bCs/>
          <w:b/>
        </w:rPr>
        <w:t xml:space="preserve">Lawyer</w:t>
      </w:r>
      <w:r>
        <w:t xml:space="preserve">. In the context of</w:t>
      </w:r>
      <w:r>
        <w:t xml:space="preserve"> </w:t>
      </w:r>
      <w:r>
        <w:rPr>
          <w:bCs/>
          <w:b/>
        </w:rPr>
        <w:t xml:space="preserve">Bangladesh Dhaka</w:t>
      </w:r>
      <w:r>
        <w:t xml:space="preserve">, where legal precedents are frequently cited from both local High Court judgments and English Common Law, the ability to synthesize complex legal arguments is paramount. The review indicates that the subject demonstrates a robust understanding of the Code of Civil Procedure, 1908, and the Code of Criminal Procedure, 1898.</w:t>
      </w:r>
    </w:p>
    <w:p>
      <w:pPr>
        <w:pStyle w:val="BodyText"/>
      </w:pPr>
      <w:r>
        <w:t xml:space="preserve">Specifically, the</w:t>
      </w:r>
      <w:r>
        <w:t xml:space="preserve"> </w:t>
      </w:r>
      <w:r>
        <w:rPr>
          <w:bCs/>
          <w:b/>
        </w:rPr>
        <w:t xml:space="preserve">Lawyer</w:t>
      </w:r>
      <w:r>
        <w:t xml:space="preserve"> </w:t>
      </w:r>
      <w:r>
        <w:t xml:space="preserve">has shown proficiency in drafting pleadings that are concise yet comprehensive, adhering to the strict formatting requirements of the Dhaka District Courts. The review panel noted that the legal memoranda submitted by the</w:t>
      </w:r>
      <w:r>
        <w:t xml:space="preserve"> </w:t>
      </w:r>
      <w:r>
        <w:rPr>
          <w:bCs/>
          <w:b/>
        </w:rPr>
        <w:t xml:space="preserve">Lawyer</w:t>
      </w:r>
      <w:r>
        <w:t xml:space="preserve"> </w:t>
      </w:r>
      <w:r>
        <w:t xml:space="preserve">in recent commercial arbitration cases were well-researched and logically structured. This level of competence is essential for maintaining the reputation of the legal fraternity in</w:t>
      </w:r>
      <w:r>
        <w:t xml:space="preserve"> </w:t>
      </w:r>
      <w:r>
        <w:rPr>
          <w:bCs/>
          <w:b/>
        </w:rPr>
        <w:t xml:space="preserve">Bangladesh Dhaka</w:t>
      </w:r>
      <w:r>
        <w:t xml:space="preserve">, where international investors often seek legal counsel for disputes involving local entities.</w:t>
      </w:r>
    </w:p>
    <w:bookmarkEnd w:id="21"/>
    <w:bookmarkStart w:id="22" w:name="Xe392b7a3cbe83e38fb4506a95f73905ad882931"/>
    <w:p>
      <w:pPr>
        <w:pStyle w:val="Heading2"/>
      </w:pPr>
      <w:r>
        <w:t xml:space="preserve">3. Ethical Conduct and Professional Integrity</w:t>
      </w:r>
    </w:p>
    <w:p>
      <w:pPr>
        <w:pStyle w:val="FirstParagraph"/>
      </w:pPr>
      <w:r>
        <w:t xml:space="preserve">Ethical integrity is the cornerstone of the legal profession. This</w:t>
      </w:r>
      <w:r>
        <w:t xml:space="preserve"> </w:t>
      </w:r>
      <w:r>
        <w:rPr>
          <w:bCs/>
          <w:b/>
        </w:rPr>
        <w:t xml:space="preserve">Peer Review Report</w:t>
      </w:r>
      <w:r>
        <w:t xml:space="preserve"> </w:t>
      </w:r>
      <w:r>
        <w:t xml:space="preserve">scrutinizes the</w:t>
      </w:r>
      <w:r>
        <w:t xml:space="preserve"> </w:t>
      </w:r>
      <w:r>
        <w:rPr>
          <w:bCs/>
          <w:b/>
        </w:rPr>
        <w:t xml:space="preserve">Lawyer</w:t>
      </w:r>
      <w:r>
        <w:t xml:space="preserve">'s adherence to the ethical guidelines set forth by the Bangladesh Bar Council. In</w:t>
      </w:r>
      <w:r>
        <w:t xml:space="preserve"> </w:t>
      </w:r>
      <w:r>
        <w:rPr>
          <w:bCs/>
          <w:b/>
        </w:rPr>
        <w:t xml:space="preserve">Bangladesh Dhaka</w:t>
      </w:r>
      <w:r>
        <w:t xml:space="preserve">, the pressure to expedite cases can sometimes lead to unethical practices, such as undue influence on court staff or misleading the court. However, the findings of this review suggest that the</w:t>
      </w:r>
      <w:r>
        <w:t xml:space="preserve"> </w:t>
      </w:r>
      <w:r>
        <w:rPr>
          <w:bCs/>
          <w:b/>
        </w:rPr>
        <w:t xml:space="preserve">Lawyer</w:t>
      </w:r>
      <w:r>
        <w:t xml:space="preserve"> </w:t>
      </w:r>
      <w:r>
        <w:t xml:space="preserve">has maintained a high standard of professional integrity.</w:t>
      </w:r>
    </w:p>
    <w:p>
      <w:pPr>
        <w:pStyle w:val="BodyText"/>
      </w:pPr>
      <w:r>
        <w:t xml:space="preserve">There were no recorded instances of conflict of interest or breach of client confidentiality. The</w:t>
      </w:r>
      <w:r>
        <w:t xml:space="preserve"> </w:t>
      </w:r>
      <w:r>
        <w:rPr>
          <w:bCs/>
          <w:b/>
        </w:rPr>
        <w:t xml:space="preserve">Lawyer</w:t>
      </w:r>
      <w:r>
        <w:t xml:space="preserve"> </w:t>
      </w:r>
      <w:r>
        <w:t xml:space="preserve">was observed to be respectful towards opposing counsel and the judiciary, fostering a professional atmosphere in the courtroom. This conduct is particularly commendable in the high-pressure environment of the Dhaka High Court, where decorum is essential for the smooth administration of justice. The review confirms that the</w:t>
      </w:r>
      <w:r>
        <w:t xml:space="preserve"> </w:t>
      </w:r>
      <w:r>
        <w:rPr>
          <w:bCs/>
          <w:b/>
        </w:rPr>
        <w:t xml:space="preserve">Lawyer</w:t>
      </w:r>
      <w:r>
        <w:t xml:space="preserve"> </w:t>
      </w:r>
      <w:r>
        <w:t xml:space="preserve">upholds the dignity of the profession, serving as a positive example for junior advocates in</w:t>
      </w:r>
      <w:r>
        <w:t xml:space="preserve"> </w:t>
      </w:r>
      <w:r>
        <w:rPr>
          <w:bCs/>
          <w:b/>
        </w:rPr>
        <w:t xml:space="preserve">Bangladesh Dhaka</w:t>
      </w:r>
      <w:r>
        <w:t xml:space="preserve">.</w:t>
      </w:r>
    </w:p>
    <w:bookmarkEnd w:id="22"/>
    <w:bookmarkStart w:id="23" w:name="client-relations-and-communication"/>
    <w:p>
      <w:pPr>
        <w:pStyle w:val="Heading2"/>
      </w:pPr>
      <w:r>
        <w:t xml:space="preserve">4. Client Relations and Communication</w:t>
      </w:r>
    </w:p>
    <w:p>
      <w:pPr>
        <w:pStyle w:val="FirstParagraph"/>
      </w:pPr>
      <w:r>
        <w:t xml:space="preserve">Effective communication is vital for a</w:t>
      </w:r>
      <w:r>
        <w:t xml:space="preserve"> </w:t>
      </w:r>
      <w:r>
        <w:rPr>
          <w:bCs/>
          <w:b/>
        </w:rPr>
        <w:t xml:space="preserve">Lawyer</w:t>
      </w:r>
      <w:r>
        <w:t xml:space="preserve"> </w:t>
      </w:r>
      <w:r>
        <w:t xml:space="preserve">operating in</w:t>
      </w:r>
      <w:r>
        <w:t xml:space="preserve"> </w:t>
      </w:r>
      <w:r>
        <w:rPr>
          <w:bCs/>
          <w:b/>
        </w:rPr>
        <w:t xml:space="preserve">Bangladesh Dhaka</w:t>
      </w:r>
      <w:r>
        <w:t xml:space="preserve">, where clients often face significant anxiety regarding legal outcomes. This</w:t>
      </w:r>
      <w:r>
        <w:t xml:space="preserve"> </w:t>
      </w:r>
      <w:r>
        <w:rPr>
          <w:bCs/>
          <w:b/>
        </w:rPr>
        <w:t xml:space="preserve">Peer Review Report</w:t>
      </w:r>
      <w:r>
        <w:t xml:space="preserve"> </w:t>
      </w:r>
      <w:r>
        <w:t xml:space="preserve">evaluates the</w:t>
      </w:r>
      <w:r>
        <w:t xml:space="preserve"> </w:t>
      </w:r>
      <w:r>
        <w:rPr>
          <w:bCs/>
          <w:b/>
        </w:rPr>
        <w:t xml:space="preserve">Lawyer</w:t>
      </w:r>
      <w:r>
        <w:t xml:space="preserve">'s ability to manage client expectations and provide clear, timely updates. Feedback collected from a sample of clients indicates that the</w:t>
      </w:r>
      <w:r>
        <w:t xml:space="preserve"> </w:t>
      </w:r>
      <w:r>
        <w:rPr>
          <w:bCs/>
          <w:b/>
        </w:rPr>
        <w:t xml:space="preserve">Lawyer</w:t>
      </w:r>
      <w:r>
        <w:t xml:space="preserve"> </w:t>
      </w:r>
      <w:r>
        <w:t xml:space="preserve">is responsive and empathetic, taking the time to explain complex legal concepts in accessible language.</w:t>
      </w:r>
    </w:p>
    <w:p>
      <w:pPr>
        <w:pStyle w:val="BodyText"/>
      </w:pPr>
      <w:r>
        <w:t xml:space="preserve">Furthermore, the</w:t>
      </w:r>
      <w:r>
        <w:t xml:space="preserve"> </w:t>
      </w:r>
      <w:r>
        <w:rPr>
          <w:bCs/>
          <w:b/>
        </w:rPr>
        <w:t xml:space="preserve">Lawyer</w:t>
      </w:r>
      <w:r>
        <w:t xml:space="preserve"> </w:t>
      </w:r>
      <w:r>
        <w:t xml:space="preserve">has demonstrated transparency regarding fee structures, which is a critical aspect of trust-building in the legal market of</w:t>
      </w:r>
      <w:r>
        <w:t xml:space="preserve"> </w:t>
      </w:r>
      <w:r>
        <w:rPr>
          <w:bCs/>
          <w:b/>
        </w:rPr>
        <w:t xml:space="preserve">Bangladesh Dhaka</w:t>
      </w:r>
      <w:r>
        <w:t xml:space="preserve">. The review notes that the</w:t>
      </w:r>
      <w:r>
        <w:t xml:space="preserve"> </w:t>
      </w:r>
      <w:r>
        <w:rPr>
          <w:bCs/>
          <w:b/>
        </w:rPr>
        <w:t xml:space="preserve">Lawyer</w:t>
      </w:r>
      <w:r>
        <w:t xml:space="preserve"> </w:t>
      </w:r>
      <w:r>
        <w:t xml:space="preserve">avoids overpromising results, instead providing realistic assessments of case viability based on current legal precedents. This honest approach enhances the credibility of the legal profession and ensures that clients are well-informed participants in their legal proceedings.</w:t>
      </w:r>
    </w:p>
    <w:bookmarkEnd w:id="23"/>
    <w:bookmarkStart w:id="24" w:name="case-management-and-efficiency"/>
    <w:p>
      <w:pPr>
        <w:pStyle w:val="Heading2"/>
      </w:pPr>
      <w:r>
        <w:t xml:space="preserve">5. Case Management and Efficiency</w:t>
      </w:r>
    </w:p>
    <w:p>
      <w:pPr>
        <w:pStyle w:val="FirstParagraph"/>
      </w:pPr>
      <w:r>
        <w:t xml:space="preserve">The judicial system in</w:t>
      </w:r>
      <w:r>
        <w:t xml:space="preserve"> </w:t>
      </w:r>
      <w:r>
        <w:rPr>
          <w:bCs/>
          <w:b/>
        </w:rPr>
        <w:t xml:space="preserve">Bangladesh Dhaka</w:t>
      </w:r>
      <w:r>
        <w:t xml:space="preserve"> </w:t>
      </w:r>
      <w:r>
        <w:t xml:space="preserve">is often burdened with a backlog of cases, making efficient case management a crucial skill for any</w:t>
      </w:r>
      <w:r>
        <w:t xml:space="preserve"> </w:t>
      </w:r>
      <w:r>
        <w:rPr>
          <w:bCs/>
          <w:b/>
        </w:rPr>
        <w:t xml:space="preserve">Lawyer</w:t>
      </w:r>
      <w:r>
        <w:t xml:space="preserve">. This</w:t>
      </w:r>
      <w:r>
        <w:t xml:space="preserve"> </w:t>
      </w:r>
      <w:r>
        <w:rPr>
          <w:bCs/>
          <w:b/>
        </w:rPr>
        <w:t xml:space="preserve">Peer Review Report</w:t>
      </w:r>
      <w:r>
        <w:t xml:space="preserve"> </w:t>
      </w:r>
      <w:r>
        <w:t xml:space="preserve">assesses the subject's organizational skills and ability to meet court deadlines. The review finds that the</w:t>
      </w:r>
      <w:r>
        <w:t xml:space="preserve"> </w:t>
      </w:r>
      <w:r>
        <w:rPr>
          <w:bCs/>
          <w:b/>
        </w:rPr>
        <w:t xml:space="preserve">Lawyer</w:t>
      </w:r>
      <w:r>
        <w:t xml:space="preserve"> </w:t>
      </w:r>
      <w:r>
        <w:t xml:space="preserve">maintains meticulous records of case files, ensuring that all necessary documents are submitted promptly.</w:t>
      </w:r>
    </w:p>
    <w:p>
      <w:pPr>
        <w:pStyle w:val="BodyText"/>
      </w:pPr>
      <w:r>
        <w:t xml:space="preserve">The</w:t>
      </w:r>
      <w:r>
        <w:t xml:space="preserve"> </w:t>
      </w:r>
      <w:r>
        <w:rPr>
          <w:bCs/>
          <w:b/>
        </w:rPr>
        <w:t xml:space="preserve">Lawyer</w:t>
      </w:r>
      <w:r>
        <w:t xml:space="preserve"> </w:t>
      </w:r>
      <w:r>
        <w:t xml:space="preserve">has successfully navigated the procedural complexities of the Dhaka courts, minimizing delays caused by administrative errors. This efficiency not only benefits the clients but also contributes to the overall functioning of the justice system in</w:t>
      </w:r>
      <w:r>
        <w:t xml:space="preserve"> </w:t>
      </w:r>
      <w:r>
        <w:rPr>
          <w:bCs/>
          <w:b/>
        </w:rPr>
        <w:t xml:space="preserve">Bangladesh Dhaka</w:t>
      </w:r>
      <w:r>
        <w:t xml:space="preserve">. The review panel commends the</w:t>
      </w:r>
      <w:r>
        <w:t xml:space="preserve"> </w:t>
      </w:r>
      <w:r>
        <w:rPr>
          <w:bCs/>
          <w:b/>
        </w:rPr>
        <w:t xml:space="preserve">Lawyer</w:t>
      </w:r>
      <w:r>
        <w:t xml:space="preserve"> </w:t>
      </w:r>
      <w:r>
        <w:t xml:space="preserve">for adopting modern case management tools to track hearings and deadlines, reflecting a commitment to professional excellence.</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Lawyer</w:t>
      </w:r>
      <w:r>
        <w:t xml:space="preserve"> </w:t>
      </w:r>
      <w:r>
        <w:t xml:space="preserve">under review has demonstrated a high level of competence, ethical conduct, and professionalism. The findings affirm that the</w:t>
      </w:r>
      <w:r>
        <w:t xml:space="preserve"> </w:t>
      </w:r>
      <w:r>
        <w:rPr>
          <w:bCs/>
          <w:b/>
        </w:rPr>
        <w:t xml:space="preserve">Lawyer</w:t>
      </w:r>
      <w:r>
        <w:t xml:space="preserve"> </w:t>
      </w:r>
      <w:r>
        <w:t xml:space="preserve">is well-equipped to handle the diverse legal challenges presented in</w:t>
      </w:r>
      <w:r>
        <w:t xml:space="preserve"> </w:t>
      </w:r>
      <w:r>
        <w:rPr>
          <w:bCs/>
          <w:b/>
        </w:rPr>
        <w:t xml:space="preserve">Bangladesh Dhaka</w:t>
      </w:r>
      <w:r>
        <w:t xml:space="preserve">. However, to further enhance their practice, the review panel recommends continued professional development in the area of international commercial law, given the increasing globalization of business in Dhaka.</w:t>
      </w:r>
    </w:p>
    <w:p>
      <w:pPr>
        <w:pStyle w:val="BodyText"/>
      </w:pPr>
      <w:r>
        <w:t xml:space="preserve">In conclusion, this</w:t>
      </w:r>
      <w:r>
        <w:t xml:space="preserve"> </w:t>
      </w:r>
      <w:r>
        <w:rPr>
          <w:bCs/>
          <w:b/>
        </w:rPr>
        <w:t xml:space="preserve">Peer Review Report</w:t>
      </w:r>
      <w:r>
        <w:t xml:space="preserve"> </w:t>
      </w:r>
      <w:r>
        <w:t xml:space="preserve">serves as a testament to the</w:t>
      </w:r>
      <w:r>
        <w:t xml:space="preserve"> </w:t>
      </w:r>
      <w:r>
        <w:rPr>
          <w:bCs/>
          <w:b/>
        </w:rPr>
        <w:t xml:space="preserve">Lawyer</w:t>
      </w:r>
      <w:r>
        <w:t xml:space="preserve">'s dedication to the rule of law and the welfare of their clients. The standards upheld by this professional contribute positively to the reputation of the legal community in</w:t>
      </w:r>
      <w:r>
        <w:t xml:space="preserve"> </w:t>
      </w:r>
      <w:r>
        <w:rPr>
          <w:bCs/>
          <w:b/>
        </w:rPr>
        <w:t xml:space="preserve">Bangladesh Dhaka</w:t>
      </w:r>
      <w:r>
        <w:t xml:space="preserve">. It is the recommendation of this review board that the</w:t>
      </w:r>
      <w:r>
        <w:t xml:space="preserve"> </w:t>
      </w:r>
      <w:r>
        <w:rPr>
          <w:bCs/>
          <w:b/>
        </w:rPr>
        <w:t xml:space="preserve">Lawyer</w:t>
      </w:r>
      <w:r>
        <w:t xml:space="preserve"> </w:t>
      </w:r>
      <w:r>
        <w:t xml:space="preserve">be recognized for their exemplary service and encouraged to mentor junior advocates to sustain these high standards within the profession.</w:t>
      </w:r>
    </w:p>
    <w:p>
      <w:pPr>
        <w:pStyle w:val="BodyText"/>
      </w:pPr>
      <w:r>
        <w:rPr>
          <w:bCs/>
          <w:b/>
        </w:rPr>
        <w:t xml:space="preserve">Disclaimer:</w:t>
      </w:r>
      <w:r>
        <w:t xml:space="preserve"> </w:t>
      </w:r>
      <w:r>
        <w:t xml:space="preserve">This Peer Review Report is confidential and intended solely for the use of the individuals and entities named herein. Unauthorized distribution is prohibited. This document is a simulated report for educational and illustrative purposes regarding legal standards in Bangladesh Dhaka.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Standards in Bangladesh Dhaka</dc:title>
  <dc:creator/>
  <dc:language>en</dc:language>
  <cp:keywords/>
  <dcterms:created xsi:type="dcterms:W3CDTF">2026-10-10T08:14:40Z</dcterms:created>
  <dcterms:modified xsi:type="dcterms:W3CDTF">2026-10-10T08:14:40Z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