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Legal</w:t>
      </w:r>
      <w:r>
        <w:t xml:space="preserve"> </w:t>
      </w:r>
      <w:r>
        <w:t xml:space="preserve">Practice</w:t>
      </w:r>
      <w:r>
        <w:t xml:space="preserve"> </w:t>
      </w:r>
      <w:r>
        <w:t xml:space="preserve">in</w:t>
      </w:r>
      <w:r>
        <w:t xml:space="preserve"> </w:t>
      </w:r>
      <w:r>
        <w:t xml:space="preserve">Brussels,</w:t>
      </w:r>
      <w:r>
        <w:t xml:space="preserve"> </w:t>
      </w:r>
      <w:r>
        <w:t xml:space="preserve">Belgium</w:t>
      </w:r>
    </w:p>
    <w:bookmarkStart w:id="20" w:name="peer-review-report"/>
    <w:p>
      <w:pPr>
        <w:pStyle w:val="Heading1"/>
      </w:pPr>
      <w:r>
        <w:t xml:space="preserve">Peer Review Report</w:t>
      </w:r>
    </w:p>
    <w:p>
      <w:pPr>
        <w:pStyle w:val="FirstParagraph"/>
      </w:pPr>
      <w:r>
        <w:t xml:space="preserve">Subject:</w:t>
      </w:r>
      <w:r>
        <w:t xml:space="preserve"> </w:t>
      </w:r>
      <w:r>
        <w:t xml:space="preserve">Professional Legal Practice</w:t>
      </w:r>
    </w:p>
    <w:p>
      <w:pPr>
        <w:pStyle w:val="BodyText"/>
      </w:pPr>
      <w:r>
        <w:t xml:space="preserve">Jurisdiction:</w:t>
      </w:r>
      <w:r>
        <w:t xml:space="preserve"> </w:t>
      </w:r>
      <w:r>
        <w:t xml:space="preserve">Belgium Brussels</w:t>
      </w:r>
    </w:p>
    <w:p>
      <w:pPr>
        <w:pStyle w:val="BodyText"/>
      </w:pPr>
      <w:r>
        <w:t xml:space="preserve">Report Date:</w:t>
      </w:r>
      <w:r>
        <w:t xml:space="preserve"> </w:t>
      </w:r>
      <w:r>
        <w:t xml:space="preserve">October 24, 2023</w:t>
      </w:r>
    </w:p>
    <w:p>
      <w:pPr>
        <w:pStyle w:val="BodyText"/>
      </w:pPr>
      <w:r>
        <w:t xml:space="preserve">Review ID:</w:t>
      </w:r>
      <w:r>
        <w:t xml:space="preserve"> </w:t>
      </w:r>
      <w:r>
        <w:t xml:space="preserve">BRU-PEER-2023-089</w:t>
      </w:r>
    </w:p>
    <w:bookmarkEnd w:id="20"/>
    <w:bookmarkStart w:id="21" w:name="executive-summary"/>
    <w:p>
      <w:pPr>
        <w:pStyle w:val="Heading2"/>
      </w:pPr>
      <w:r>
        <w:t xml:space="preserve">1. Executive Summary</w:t>
      </w:r>
    </w:p>
    <w:p>
      <w:pPr>
        <w:pStyle w:val="FirstParagraph"/>
      </w:pPr>
      <w:r>
        <w:t xml:space="preserve">This Peer Review Report has been commissioned to evaluate the professional standards, ethical compliance, and operational efficiency of a practicing Lawyer within the jurisdiction of Belgium Brussels. The review process adheres to the guidelines established by the Brussels Bar Association (Ordre des Barreaux Francophones de Bruxelles) and aligns with the broader regulatory framework of the Belgian legal system. The primary objective of this assessment is to ensure that the subject maintains the highest levels of competence, integrity, and client service expected in the dynamic legal environment of the European capital.</w:t>
      </w:r>
    </w:p>
    <w:p>
      <w:pPr>
        <w:pStyle w:val="BodyText"/>
      </w:pPr>
      <w:r>
        <w:t xml:space="preserve">The evaluation covers a comprehensive range of criteria, including case management, legal research capabilities, adherence to professional secrecy, billing transparency, and interaction with judicial authorities in Brussels. The findings presented herein are based on a thorough examination of case files, client feedback, and direct observation of professional conduct.</w:t>
      </w:r>
    </w:p>
    <w:bookmarkEnd w:id="21"/>
    <w:bookmarkStart w:id="22" w:name="scope-and-methodology"/>
    <w:p>
      <w:pPr>
        <w:pStyle w:val="Heading2"/>
      </w:pPr>
      <w:r>
        <w:t xml:space="preserve">2. Scope and Methodology</w:t>
      </w:r>
    </w:p>
    <w:p>
      <w:pPr>
        <w:pStyle w:val="FirstParagraph"/>
      </w:pPr>
      <w:r>
        <w:t xml:space="preserve">The scope of this Peer Review Report encompasses the Lawyer's practice over the preceding twenty-four months. Given the unique position of Belgium Brussels as a hub for international law, EU regulations, and complex civil litigation, the review specifically targeted the subject's ability to navigate multi-jurisdictional issues.</w:t>
      </w:r>
    </w:p>
    <w:p>
      <w:pPr>
        <w:pStyle w:val="BodyText"/>
      </w:pPr>
      <w:r>
        <w:t xml:space="preserve">The methodology employed included:</w:t>
      </w:r>
    </w:p>
    <w:p>
      <w:pPr>
        <w:numPr>
          <w:ilvl w:val="0"/>
          <w:numId w:val="1001"/>
        </w:numPr>
        <w:pStyle w:val="Compact"/>
      </w:pPr>
      <w:r>
        <w:t xml:space="preserve">Audit of a random sample of twenty active and closed case files.</w:t>
      </w:r>
    </w:p>
    <w:p>
      <w:pPr>
        <w:numPr>
          <w:ilvl w:val="0"/>
          <w:numId w:val="1001"/>
        </w:numPr>
        <w:pStyle w:val="Compact"/>
      </w:pPr>
      <w:r>
        <w:t xml:space="preserve">Review of timekeeping records and fee structures against the standard tariff guidelines.</w:t>
      </w:r>
    </w:p>
    <w:p>
      <w:pPr>
        <w:numPr>
          <w:ilvl w:val="0"/>
          <w:numId w:val="1001"/>
        </w:numPr>
        <w:pStyle w:val="Compact"/>
      </w:pPr>
      <w:r>
        <w:t xml:space="preserve">Assessment of compliance with the Code of Ethics for Lawyers in Belgium.</w:t>
      </w:r>
    </w:p>
    <w:p>
      <w:pPr>
        <w:numPr>
          <w:ilvl w:val="0"/>
          <w:numId w:val="1001"/>
        </w:numPr>
        <w:pStyle w:val="Compact"/>
      </w:pPr>
      <w:r>
        <w:t xml:space="preserve">Evaluation of communication protocols with clients and opposing counsel.</w:t>
      </w:r>
    </w:p>
    <w:p>
      <w:pPr>
        <w:numPr>
          <w:ilvl w:val="0"/>
          <w:numId w:val="1001"/>
        </w:numPr>
        <w:pStyle w:val="Compact"/>
      </w:pPr>
      <w:r>
        <w:t xml:space="preserve">Analysis of the Lawyer's continuing professional development (CPD) records.</w:t>
      </w:r>
    </w:p>
    <w:bookmarkEnd w:id="22"/>
    <w:bookmarkStart w:id="28" w:name="detailed-assessment-criteria"/>
    <w:p>
      <w:pPr>
        <w:pStyle w:val="Heading2"/>
      </w:pPr>
      <w:r>
        <w:t xml:space="preserve">3. Detailed Assessment Criteria</w:t>
      </w:r>
    </w:p>
    <w:bookmarkStart w:id="23" w:name="Xddc71ba2aa429fb43770c4b6d621678b3334d2b"/>
    <w:p>
      <w:pPr>
        <w:pStyle w:val="Heading3"/>
      </w:pPr>
      <w:r>
        <w:t xml:space="preserve">3.1 Professional Competence and Legal Expertise</w:t>
      </w:r>
    </w:p>
    <w:p>
      <w:pPr>
        <w:pStyle w:val="FirstParagraph"/>
      </w:pPr>
      <w:r>
        <w:t xml:space="preserve">The Lawyer demonstrates a robust understanding of Belgian civil and commercial law. In the context of Belgium Brussels, where legal matters often intersect with European Union directives, the subject shows a commendable ability to apply supranational law effectively. The review of case files indicates that legal arguments are well-structured, thoroughly researched, and tailored to the specific nuances of the Brussels courts. The Lawyer exhibits strong analytical skills, particularly in complex contract disputes and corporate governance matters.</w:t>
      </w:r>
    </w:p>
    <w:bookmarkEnd w:id="23"/>
    <w:bookmarkStart w:id="24" w:name="X4ce211acb8b02978b825403f312638d11fa1afd"/>
    <w:p>
      <w:pPr>
        <w:pStyle w:val="Heading3"/>
      </w:pPr>
      <w:r>
        <w:t xml:space="preserve">3.2 Ethical Standards and Professional Conduct</w:t>
      </w:r>
    </w:p>
    <w:p>
      <w:pPr>
        <w:pStyle w:val="FirstParagraph"/>
      </w:pPr>
      <w:r>
        <w:t xml:space="preserve">Adherence to ethical standards is paramount for any Lawyer in Belgium. This Peer Review Report confirms that the subject strictly observes the rules of professional secrecy (geheimhoudingsplicht) and avoids conflicts of interest. The review found no instances of misconduct or breaches of the Code of Ethics. The Lawyer maintains a professional demeanor in all interactions, respecting the dignity of the profession and the judicial process.</w:t>
      </w:r>
    </w:p>
    <w:bookmarkEnd w:id="24"/>
    <w:bookmarkStart w:id="25" w:name="client-relations-and-communication"/>
    <w:p>
      <w:pPr>
        <w:pStyle w:val="Heading3"/>
      </w:pPr>
      <w:r>
        <w:t xml:space="preserve">3.3 Client Relations and Communication</w:t>
      </w:r>
    </w:p>
    <w:p>
      <w:pPr>
        <w:pStyle w:val="FirstParagraph"/>
      </w:pPr>
      <w:r>
        <w:t xml:space="preserve">Effective communication is critical in the fast-paced environment of Brussels. The Lawyer is assessed as being responsive and transparent with clients. Feedback indicates that clients are kept informed of case developments in a timely manner. The subject provides clear explanations of legal options and risks, ensuring that clients can make informed decisions. However, the report notes a minor area for improvement regarding the speed of response during peak litigation periods.</w:t>
      </w:r>
    </w:p>
    <w:bookmarkEnd w:id="25"/>
    <w:bookmarkStart w:id="26" w:name="case-management-and-efficiency"/>
    <w:p>
      <w:pPr>
        <w:pStyle w:val="Heading3"/>
      </w:pPr>
      <w:r>
        <w:t xml:space="preserve">3.4 Case Management and Efficiency</w:t>
      </w:r>
    </w:p>
    <w:p>
      <w:pPr>
        <w:pStyle w:val="FirstParagraph"/>
      </w:pPr>
      <w:r>
        <w:t xml:space="preserve">The organization of case files is systematic and compliant with data protection regulations (GDPR), which is essential for a practice in Belgium Brussels. Deadlines are consistently met, and court filings are submitted accurately and on time. The Lawyer utilizes modern legal technology to enhance efficiency, though further integration of case management software could optimize workflow further.</w:t>
      </w:r>
    </w:p>
    <w:bookmarkEnd w:id="26"/>
    <w:bookmarkStart w:id="27" w:name="billing-and-financial-transparency"/>
    <w:p>
      <w:pPr>
        <w:pStyle w:val="Heading3"/>
      </w:pPr>
      <w:r>
        <w:t xml:space="preserve">3.5 Billing and Financial Transparency</w:t>
      </w:r>
    </w:p>
    <w:p>
      <w:pPr>
        <w:pStyle w:val="FirstParagraph"/>
      </w:pPr>
      <w:r>
        <w:t xml:space="preserve">The review of billing practices reveals a high degree of transparency. Invoices are detailed, clearly outlining the work performed and time spent. The fee structures are reasonable and aligned with the complexity of the cases handled. There is no evidence of overbilling or hidden charges, which reinforces the trust between the Lawyer and their clientele.</w:t>
      </w:r>
    </w:p>
    <w:bookmarkEnd w:id="27"/>
    <w:bookmarkEnd w:id="28"/>
    <w:bookmarkStart w:id="29" w:name="quantitative-ratings"/>
    <w:p>
      <w:pPr>
        <w:pStyle w:val="Heading2"/>
      </w:pPr>
      <w:r>
        <w:t xml:space="preserve">4. Quantitative Ratings</w:t>
      </w:r>
    </w:p>
    <w:p>
      <w:pPr>
        <w:pStyle w:val="FirstParagraph"/>
      </w:pPr>
      <w:r>
        <w:t xml:space="preserve">Legal Knowledge &amp; Application</w:t>
      </w:r>
      <w:r>
        <w:t xml:space="preserve"> </w:t>
      </w:r>
      <w:r>
        <w:t xml:space="preserve">9.5 / 10</w:t>
      </w:r>
    </w:p>
    <w:p>
      <w:pPr>
        <w:pStyle w:val="BodyText"/>
      </w:pPr>
      <w:r>
        <w:t xml:space="preserve">Ethical Compliance</w:t>
      </w:r>
      <w:r>
        <w:t xml:space="preserve"> </w:t>
      </w:r>
      <w:r>
        <w:t xml:space="preserve">10 / 10</w:t>
      </w:r>
    </w:p>
    <w:p>
      <w:pPr>
        <w:pStyle w:val="BodyText"/>
      </w:pPr>
      <w:r>
        <w:t xml:space="preserve">Client Communication</w:t>
      </w:r>
      <w:r>
        <w:t xml:space="preserve"> </w:t>
      </w:r>
      <w:r>
        <w:t xml:space="preserve">8.5 / 10</w:t>
      </w:r>
    </w:p>
    <w:p>
      <w:pPr>
        <w:pStyle w:val="BodyText"/>
      </w:pPr>
      <w:r>
        <w:t xml:space="preserve">Case Management Efficiency</w:t>
      </w:r>
      <w:r>
        <w:t xml:space="preserve"> </w:t>
      </w:r>
      <w:r>
        <w:t xml:space="preserve">9.0 / 10</w:t>
      </w:r>
    </w:p>
    <w:p>
      <w:pPr>
        <w:pStyle w:val="BodyText"/>
      </w:pPr>
      <w:r>
        <w:t xml:space="preserve">Overall Professional Standing</w:t>
      </w:r>
      <w:r>
        <w:t xml:space="preserve"> </w:t>
      </w:r>
      <w:r>
        <w:t xml:space="preserve">9.2 / 10</w:t>
      </w:r>
    </w:p>
    <w:bookmarkEnd w:id="29"/>
    <w:bookmarkStart w:id="30" w:name="recommendations"/>
    <w:p>
      <w:pPr>
        <w:pStyle w:val="Heading2"/>
      </w:pPr>
      <w:r>
        <w:t xml:space="preserve">5. Recommendations</w:t>
      </w:r>
    </w:p>
    <w:p>
      <w:pPr>
        <w:pStyle w:val="FirstParagraph"/>
      </w:pPr>
      <w:r>
        <w:t xml:space="preserve">Based on the findings of this Peer Review Report, the following recommendations are made to further enhance the Lawyer's practice in Belgium Brussels:</w:t>
      </w:r>
    </w:p>
    <w:p>
      <w:pPr>
        <w:numPr>
          <w:ilvl w:val="0"/>
          <w:numId w:val="1002"/>
        </w:numPr>
        <w:pStyle w:val="Compact"/>
      </w:pPr>
      <w:r>
        <w:rPr>
          <w:bCs/>
          <w:b/>
        </w:rPr>
        <w:t xml:space="preserve">Enhanced Communication Protocols:</w:t>
      </w:r>
      <w:r>
        <w:t xml:space="preserve"> </w:t>
      </w:r>
      <w:r>
        <w:t xml:space="preserve">Implement a triage system for client inquiries to ensure consistent response times, even during high-volume periods.</w:t>
      </w:r>
    </w:p>
    <w:p>
      <w:pPr>
        <w:numPr>
          <w:ilvl w:val="0"/>
          <w:numId w:val="1002"/>
        </w:numPr>
        <w:pStyle w:val="Compact"/>
      </w:pPr>
      <w:r>
        <w:rPr>
          <w:bCs/>
          <w:b/>
        </w:rPr>
        <w:t xml:space="preserve">Technology Integration:</w:t>
      </w:r>
      <w:r>
        <w:t xml:space="preserve"> </w:t>
      </w:r>
      <w:r>
        <w:t xml:space="preserve">Invest in advanced legal practice management software to streamline document retrieval and billing processes.</w:t>
      </w:r>
    </w:p>
    <w:p>
      <w:pPr>
        <w:numPr>
          <w:ilvl w:val="0"/>
          <w:numId w:val="1002"/>
        </w:numPr>
        <w:pStyle w:val="Compact"/>
      </w:pPr>
      <w:r>
        <w:rPr>
          <w:bCs/>
          <w:b/>
        </w:rPr>
        <w:t xml:space="preserve">Specialization Development:</w:t>
      </w:r>
      <w:r>
        <w:t xml:space="preserve"> </w:t>
      </w:r>
      <w:r>
        <w:t xml:space="preserve">Given the international nature of Brussels, consider further specialization in EU competition law or international arbitration to leverage the geographic advantage.</w:t>
      </w:r>
    </w:p>
    <w:bookmarkEnd w:id="30"/>
    <w:bookmarkStart w:id="31" w:name="conclusion"/>
    <w:p>
      <w:pPr>
        <w:pStyle w:val="Heading2"/>
      </w:pPr>
      <w:r>
        <w:t xml:space="preserve">6. Conclusion</w:t>
      </w:r>
    </w:p>
    <w:p>
      <w:pPr>
        <w:pStyle w:val="FirstParagraph"/>
      </w:pPr>
      <w:r>
        <w:t xml:space="preserve">In conclusion, this Peer Review Report affirms that the Lawyer under review maintains an exemplary standard of practice. The subject demonstrates the competence, integrity, and dedication required to serve clients effectively within the jurisdiction of Belgium Brussels. The minor areas for improvement identified are operational in nature and do not detract from the overall high quality of legal services provided. The Lawyer is fully compliant with all regulatory requirements and is well-regarded by peers and clients alike.</w:t>
      </w:r>
    </w:p>
    <w:bookmarkEnd w:id="31"/>
    <w:p>
      <w:pPr>
        <w:pStyle w:val="BodyText"/>
      </w:pPr>
      <w:r>
        <w:rPr>
          <w:bCs/>
          <w:b/>
        </w:rPr>
        <w:t xml:space="preserve">Prepared by:</w:t>
      </w:r>
    </w:p>
    <w:p>
      <w:pPr>
        <w:pStyle w:val="BodyText"/>
      </w:pPr>
      <w:r>
        <w:t xml:space="preserve">Senior Peer Reviewer</w:t>
      </w:r>
      <w:r>
        <w:br/>
      </w:r>
      <w:r>
        <w:t xml:space="preserve">Brussels Bar Association Review Panel</w:t>
      </w:r>
    </w:p>
    <w:p>
      <w:pPr>
        <w:pStyle w:val="BodyText"/>
      </w:pPr>
      <w:r>
        <w:t xml:space="preserve">This document is confidential and intended solely for the use of the individual or entity to whom it is addressed. Unauthorized reproduction or distribution is prohibited.</w:t>
      </w:r>
    </w:p>
    <w:p>
      <w:pPr>
        <w:pStyle w:val="BodyText"/>
      </w:pPr>
      <w:r>
        <w:t xml:space="preserve">© 2023 Peer Review Committee, Belgium Brussels.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Legal Practice in Brussels, Belgium</dc:title>
  <dc:creator/>
  <dc:language>en</dc:language>
  <cp:keywords/>
  <dcterms:created xsi:type="dcterms:W3CDTF">2026-10-10T03:17:32Z</dcterms:created>
  <dcterms:modified xsi:type="dcterms:W3CDTF">2026-10-10T03:17:32Z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