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Standards</w:t>
      </w:r>
      <w:r>
        <w:t xml:space="preserve"> </w:t>
      </w:r>
      <w:r>
        <w:t xml:space="preserve">in</w:t>
      </w:r>
      <w:r>
        <w:t xml:space="preserve"> </w:t>
      </w:r>
      <w:r>
        <w:t xml:space="preserve">Canada</w:t>
      </w:r>
      <w:r>
        <w:t xml:space="preserve"> </w:t>
      </w:r>
      <w:r>
        <w:t xml:space="preserve">Montreal</w:t>
      </w:r>
    </w:p>
    <w:bookmarkStart w:id="27" w:name="X5a38df8160663ec2e9fed8f94130875d959bbf0"/>
    <w:p>
      <w:pPr>
        <w:pStyle w:val="Heading1"/>
      </w:pPr>
      <w:r>
        <w:t xml:space="preserve">Peer Review Report: Professional Competence and Ethical Standards</w:t>
      </w:r>
    </w:p>
    <w:p>
      <w:pPr>
        <w:pStyle w:val="FirstParagraph"/>
      </w:pPr>
      <w:r>
        <w:rPr>
          <w:bCs/>
          <w:b/>
        </w:rPr>
        <w:t xml:space="preserve">Subject:</w:t>
      </w:r>
      <w:r>
        <w:t xml:space="preserve"> </w:t>
      </w:r>
      <w:r>
        <w:t xml:space="preserve">Evaluation of Legal Practice Standards for a Lawyer</w:t>
      </w:r>
    </w:p>
    <w:p>
      <w:pPr>
        <w:pStyle w:val="BodyText"/>
      </w:pPr>
      <w:r>
        <w:rPr>
          <w:bCs/>
          <w:b/>
        </w:rPr>
        <w:t xml:space="preserve">Jurisdiction:</w:t>
      </w:r>
      <w:r>
        <w:t xml:space="preserve"> </w:t>
      </w:r>
      <w:r>
        <w:t xml:space="preserve">Canada Montreal (Province of Quebec)</w:t>
      </w:r>
    </w:p>
    <w:p>
      <w:pPr>
        <w:pStyle w:val="BodyText"/>
      </w:pPr>
      <w:r>
        <w:rPr>
          <w:bCs/>
          <w:b/>
        </w:rPr>
        <w:t xml:space="preserve">Regulatory Body:</w:t>
      </w:r>
      <w:r>
        <w:t xml:space="preserve"> </w:t>
      </w:r>
      <w:r>
        <w:t xml:space="preserve">Barreau du Québec (Bar of Quebec)</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Peer Assessment</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conduct, technical competence, and ethical adherence of a practicing</w:t>
      </w:r>
      <w:r>
        <w:t xml:space="preserve"> </w:t>
      </w:r>
      <w:r>
        <w:rPr>
          <w:bCs/>
          <w:b/>
        </w:rPr>
        <w:t xml:space="preserve">Lawyer</w:t>
      </w:r>
      <w:r>
        <w:t xml:space="preserve"> </w:t>
      </w:r>
      <w:r>
        <w:t xml:space="preserve">operating within the jurisdiction of</w:t>
      </w:r>
      <w:r>
        <w:t xml:space="preserve"> </w:t>
      </w:r>
      <w:r>
        <w:rPr>
          <w:bCs/>
          <w:b/>
        </w:rPr>
        <w:t xml:space="preserve">Canada Montreal</w:t>
      </w:r>
      <w:r>
        <w:t xml:space="preserve">. The legal landscape in Montreal is unique due to its civil law tradition, distinct from the common law systems found in the rest of Canada. Consequently, this review places significant emphasis on the practitioner's mastery of the Civil Code of Quebec (CCQ), the Code of Civil Procedure (CCP), and the specific ethical guidelines mandated by the Barreau du Québec. The objective is to ensure that the subject</w:t>
      </w:r>
      <w:r>
        <w:t xml:space="preserve"> </w:t>
      </w:r>
      <w:r>
        <w:rPr>
          <w:bCs/>
          <w:b/>
        </w:rPr>
        <w:t xml:space="preserve">Lawyer</w:t>
      </w:r>
      <w:r>
        <w:t xml:space="preserve"> </w:t>
      </w:r>
      <w:r>
        <w:t xml:space="preserve">maintains the high standards of integrity and proficiency required to serve the diverse legal needs of the Montreal community.</w:t>
      </w:r>
    </w:p>
    <w:bookmarkEnd w:id="20"/>
    <w:bookmarkStart w:id="21" w:name="Xa5b93fb02da35940ea7cd0f09d76b353e9787fd"/>
    <w:p>
      <w:pPr>
        <w:pStyle w:val="Heading2"/>
      </w:pPr>
      <w:r>
        <w:t xml:space="preserve">2. Regulatory Framework and Jurisdictional Context</w:t>
      </w:r>
    </w:p>
    <w:p>
      <w:pPr>
        <w:pStyle w:val="FirstParagraph"/>
      </w:pPr>
      <w:r>
        <w:t xml:space="preserve">Any assessment of a</w:t>
      </w:r>
      <w:r>
        <w:t xml:space="preserve"> </w:t>
      </w:r>
      <w:r>
        <w:rPr>
          <w:bCs/>
          <w:b/>
        </w:rPr>
        <w:t xml:space="preserve">Lawyer</w:t>
      </w:r>
      <w:r>
        <w:t xml:space="preserve"> </w:t>
      </w:r>
      <w:r>
        <w:t xml:space="preserve">in</w:t>
      </w:r>
      <w:r>
        <w:t xml:space="preserve"> </w:t>
      </w:r>
      <w:r>
        <w:rPr>
          <w:bCs/>
          <w:b/>
        </w:rPr>
        <w:t xml:space="preserve">Canada Montreal</w:t>
      </w:r>
      <w:r>
        <w:t xml:space="preserve"> </w:t>
      </w:r>
      <w:r>
        <w:t xml:space="preserve">must begin with an understanding of the regulatory environment. Unlike other Canadian provinces, Quebec operates under a civil law system for private law matters. Therefore, this</w:t>
      </w:r>
      <w:r>
        <w:t xml:space="preserve"> </w:t>
      </w:r>
      <w:r>
        <w:rPr>
          <w:bCs/>
          <w:b/>
        </w:rPr>
        <w:t xml:space="preserve">Peer Review Report</w:t>
      </w:r>
      <w:r>
        <w:t xml:space="preserve"> </w:t>
      </w:r>
      <w:r>
        <w:t xml:space="preserve">scrutinizes the subject's ability to navigate the nuances of the Civil Code of Quebec. Furthermore, the review considers the bilingual nature of the legal profession in Montreal. A competent</w:t>
      </w:r>
      <w:r>
        <w:t xml:space="preserve"> </w:t>
      </w:r>
      <w:r>
        <w:rPr>
          <w:bCs/>
          <w:b/>
        </w:rPr>
        <w:t xml:space="preserve">Lawyer</w:t>
      </w:r>
      <w:r>
        <w:t xml:space="preserve"> </w:t>
      </w:r>
      <w:r>
        <w:t xml:space="preserve">in this region must demonstrate proficiency in both French and English, ensuring that clients receive accurate representation regardless of their linguistic preference.</w:t>
      </w:r>
    </w:p>
    <w:p>
      <w:pPr>
        <w:pStyle w:val="BodyText"/>
      </w:pPr>
      <w:r>
        <w:t xml:space="preserve">The review also examines compliance with the Code of Professional Conduct of Lawyers, which governs the relationship between the</w:t>
      </w:r>
      <w:r>
        <w:t xml:space="preserve"> </w:t>
      </w:r>
      <w:r>
        <w:rPr>
          <w:bCs/>
          <w:b/>
        </w:rPr>
        <w:t xml:space="preserve">Lawyer</w:t>
      </w:r>
      <w:r>
        <w:t xml:space="preserve"> </w:t>
      </w:r>
      <w:r>
        <w:t xml:space="preserve">and their clients, the courts, and the public. Adherence to these codes is not merely a formality but a fundamental requirement for maintaining the public trust in the legal system of</w:t>
      </w:r>
      <w:r>
        <w:t xml:space="preserve"> </w:t>
      </w:r>
      <w:r>
        <w:rPr>
          <w:bCs/>
          <w:b/>
        </w:rPr>
        <w:t xml:space="preserve">Canada Montreal</w:t>
      </w:r>
      <w:r>
        <w:t xml:space="preserve">.</w:t>
      </w:r>
    </w:p>
    <w:bookmarkEnd w:id="21"/>
    <w:bookmarkStart w:id="22" w:name="assessment-of-technical-competence"/>
    <w:p>
      <w:pPr>
        <w:pStyle w:val="Heading2"/>
      </w:pPr>
      <w:r>
        <w:t xml:space="preserve">3. Assessment of Technical Competence</w:t>
      </w:r>
    </w:p>
    <w:p>
      <w:pPr>
        <w:pStyle w:val="FirstParagraph"/>
      </w:pPr>
      <w:r>
        <w:t xml:space="preserve">The core of this</w:t>
      </w:r>
      <w:r>
        <w:t xml:space="preserve"> </w:t>
      </w:r>
      <w:r>
        <w:rPr>
          <w:bCs/>
          <w:b/>
        </w:rPr>
        <w:t xml:space="preserve">Peer Review Report</w:t>
      </w:r>
      <w:r>
        <w:t xml:space="preserve"> </w:t>
      </w:r>
      <w:r>
        <w:t xml:space="preserve">focuses on the technical skills of the</w:t>
      </w:r>
      <w:r>
        <w:t xml:space="preserve"> </w:t>
      </w:r>
      <w:r>
        <w:rPr>
          <w:bCs/>
          <w:b/>
        </w:rPr>
        <w:t xml:space="preserve">Lawyer</w:t>
      </w:r>
      <w:r>
        <w:t xml:space="preserve">. The evaluation process involved a random sampling of case files, including civil litigation, family law disputes, and corporate transactions. The findings indicate the following:</w:t>
      </w:r>
    </w:p>
    <w:p>
      <w:pPr>
        <w:numPr>
          <w:ilvl w:val="0"/>
          <w:numId w:val="1001"/>
        </w:numPr>
        <w:pStyle w:val="Compact"/>
      </w:pPr>
      <w:r>
        <w:rPr>
          <w:bCs/>
          <w:b/>
        </w:rPr>
        <w:t xml:space="preserve">Legal Research and Analysis:</w:t>
      </w:r>
      <w:r>
        <w:t xml:space="preserve"> </w:t>
      </w:r>
      <w:r>
        <w:t xml:space="preserve">The</w:t>
      </w:r>
      <w:r>
        <w:t xml:space="preserve"> </w:t>
      </w:r>
      <w:r>
        <w:rPr>
          <w:bCs/>
          <w:b/>
        </w:rPr>
        <w:t xml:space="preserve">Lawyer</w:t>
      </w:r>
      <w:r>
        <w:t xml:space="preserve"> </w:t>
      </w:r>
      <w:r>
        <w:t xml:space="preserve">demonstrates a robust ability to interpret Quebec jurisprudence. The review found that legal memoranda were well-reasoned, citing relevant Supreme Court of Canada decisions and Quebec Court of Appeal precedents accurately.</w:t>
      </w:r>
    </w:p>
    <w:p>
      <w:pPr>
        <w:numPr>
          <w:ilvl w:val="0"/>
          <w:numId w:val="1001"/>
        </w:numPr>
        <w:pStyle w:val="Compact"/>
      </w:pPr>
      <w:r>
        <w:rPr>
          <w:bCs/>
          <w:b/>
        </w:rPr>
        <w:t xml:space="preserve">Document Drafting:</w:t>
      </w:r>
      <w:r>
        <w:t xml:space="preserve"> </w:t>
      </w:r>
      <w:r>
        <w:t xml:space="preserve">Contracts and pleadings reviewed were precise and adhered to the formal requirements of the Quebec legal system. The</w:t>
      </w:r>
      <w:r>
        <w:t xml:space="preserve"> </w:t>
      </w:r>
      <w:r>
        <w:rPr>
          <w:bCs/>
          <w:b/>
        </w:rPr>
        <w:t xml:space="preserve">Lawyer</w:t>
      </w:r>
      <w:r>
        <w:t xml:space="preserve"> </w:t>
      </w:r>
      <w:r>
        <w:t xml:space="preserve">showed particular attention to detail in bilingual drafting, ensuring that the French and English versions of documents were legally equivalent.</w:t>
      </w:r>
    </w:p>
    <w:p>
      <w:pPr>
        <w:numPr>
          <w:ilvl w:val="0"/>
          <w:numId w:val="1001"/>
        </w:numPr>
        <w:pStyle w:val="Compact"/>
      </w:pPr>
      <w:r>
        <w:rPr>
          <w:bCs/>
          <w:b/>
        </w:rPr>
        <w:t xml:space="preserve">Case Management:</w:t>
      </w:r>
      <w:r>
        <w:t xml:space="preserve"> </w:t>
      </w:r>
      <w:r>
        <w:t xml:space="preserve">The organization of files suggests a systematic approach to case management. Deadlines for court filings in Montreal were met consistently, reflecting a strong understanding of the procedural timelines enforced by the Quebec courts.</w:t>
      </w:r>
    </w:p>
    <w:bookmarkEnd w:id="22"/>
    <w:bookmarkStart w:id="23" w:name="X4ce211acb8b02978b825403f312638d11fa1afd"/>
    <w:p>
      <w:pPr>
        <w:pStyle w:val="Heading2"/>
      </w:pPr>
      <w:r>
        <w:t xml:space="preserve">4. Ethical Standards and Professional Conduct</w:t>
      </w:r>
    </w:p>
    <w:p>
      <w:pPr>
        <w:pStyle w:val="FirstParagraph"/>
      </w:pPr>
      <w:r>
        <w:t xml:space="preserve">Ethical integrity is paramount for any</w:t>
      </w:r>
      <w:r>
        <w:t xml:space="preserve"> </w:t>
      </w:r>
      <w:r>
        <w:rPr>
          <w:bCs/>
          <w:b/>
        </w:rPr>
        <w:t xml:space="preserve">Lawyer</w:t>
      </w:r>
      <w:r>
        <w:t xml:space="preserve"> </w:t>
      </w:r>
      <w:r>
        <w:t xml:space="preserve">in</w:t>
      </w:r>
      <w:r>
        <w:t xml:space="preserve"> </w:t>
      </w:r>
      <w:r>
        <w:rPr>
          <w:bCs/>
          <w:b/>
        </w:rPr>
        <w:t xml:space="preserve">Canada Montreal</w:t>
      </w:r>
      <w:r>
        <w:t xml:space="preserve">. This section of the</w:t>
      </w:r>
      <w:r>
        <w:t xml:space="preserve"> </w:t>
      </w:r>
      <w:r>
        <w:rPr>
          <w:bCs/>
          <w:b/>
        </w:rPr>
        <w:t xml:space="preserve">Peer Review Report</w:t>
      </w:r>
      <w:r>
        <w:t xml:space="preserve"> </w:t>
      </w:r>
      <w:r>
        <w:t xml:space="preserve">assesses the subject's adherence to ethical obligations, including confidentiality, conflict of interest checks, and fiduciary duties.</w:t>
      </w:r>
    </w:p>
    <w:p>
      <w:pPr>
        <w:pStyle w:val="BodyText"/>
      </w:pPr>
      <w:r>
        <w:t xml:space="preserve">The review confirmed that the</w:t>
      </w:r>
      <w:r>
        <w:t xml:space="preserve"> </w:t>
      </w:r>
      <w:r>
        <w:rPr>
          <w:bCs/>
          <w:b/>
        </w:rPr>
        <w:t xml:space="preserve">Lawyer</w:t>
      </w:r>
      <w:r>
        <w:t xml:space="preserve"> </w:t>
      </w:r>
      <w:r>
        <w:t xml:space="preserve">maintains rigorous conflict of interest screening procedures. This is particularly critical in Montreal, where the legal community is relatively close-knit, and the risk of conflicting representations is higher. Furthermore, the handling of client funds was found to be in strict compliance with the rules governing trust accounts. The</w:t>
      </w:r>
      <w:r>
        <w:t xml:space="preserve"> </w:t>
      </w:r>
      <w:r>
        <w:rPr>
          <w:bCs/>
          <w:b/>
        </w:rPr>
        <w:t xml:space="preserve">Lawyer</w:t>
      </w:r>
      <w:r>
        <w:t xml:space="preserve"> </w:t>
      </w:r>
      <w:r>
        <w:t xml:space="preserve">demonstrated a clear commitment to transparency, ensuring that clients were fully informed about fees and the progress of their cases.</w:t>
      </w:r>
    </w:p>
    <w:bookmarkEnd w:id="23"/>
    <w:bookmarkStart w:id="24" w:name="client-relations-and-communication"/>
    <w:p>
      <w:pPr>
        <w:pStyle w:val="Heading2"/>
      </w:pPr>
      <w:r>
        <w:t xml:space="preserve">5. Client Relations and Communication</w:t>
      </w:r>
    </w:p>
    <w:p>
      <w:pPr>
        <w:pStyle w:val="FirstParagraph"/>
      </w:pPr>
      <w:r>
        <w:t xml:space="preserve">Effective communication is a vital skill for a</w:t>
      </w:r>
      <w:r>
        <w:t xml:space="preserve"> </w:t>
      </w:r>
      <w:r>
        <w:rPr>
          <w:bCs/>
          <w:b/>
        </w:rPr>
        <w:t xml:space="preserve">Lawyer</w:t>
      </w:r>
      <w:r>
        <w:t xml:space="preserve"> </w:t>
      </w:r>
      <w:r>
        <w:t xml:space="preserve">serving the multicultural population of</w:t>
      </w:r>
      <w:r>
        <w:t xml:space="preserve"> </w:t>
      </w:r>
      <w:r>
        <w:rPr>
          <w:bCs/>
          <w:b/>
        </w:rPr>
        <w:t xml:space="preserve">Canada Montreal</w:t>
      </w:r>
      <w:r>
        <w:t xml:space="preserve">. This</w:t>
      </w:r>
      <w:r>
        <w:t xml:space="preserve"> </w:t>
      </w:r>
      <w:r>
        <w:rPr>
          <w:bCs/>
          <w:b/>
        </w:rPr>
        <w:t xml:space="preserve">Peer Review Report</w:t>
      </w:r>
      <w:r>
        <w:t xml:space="preserve"> </w:t>
      </w:r>
      <w:r>
        <w:t xml:space="preserve">evaluated client feedback and communication logs. The findings suggest that the</w:t>
      </w:r>
      <w:r>
        <w:t xml:space="preserve"> </w:t>
      </w:r>
      <w:r>
        <w:rPr>
          <w:bCs/>
          <w:b/>
        </w:rPr>
        <w:t xml:space="preserve">Lawyer</w:t>
      </w:r>
      <w:r>
        <w:t xml:space="preserve"> </w:t>
      </w:r>
      <w:r>
        <w:t xml:space="preserve">excels in building rapport with clients from diverse backgrounds.</w:t>
      </w:r>
    </w:p>
    <w:p>
      <w:pPr>
        <w:pStyle w:val="BodyText"/>
      </w:pPr>
      <w:r>
        <w:t xml:space="preserve">The subject demonstrates cultural sensitivity and the ability to explain complex legal concepts in accessible language. Whether dealing with a corporate client in the financial district or an individual in a residential neighborhood, the</w:t>
      </w:r>
      <w:r>
        <w:t xml:space="preserve"> </w:t>
      </w:r>
      <w:r>
        <w:rPr>
          <w:bCs/>
          <w:b/>
        </w:rPr>
        <w:t xml:space="preserve">Lawyer</w:t>
      </w:r>
      <w:r>
        <w:t xml:space="preserve"> </w:t>
      </w:r>
      <w:r>
        <w:t xml:space="preserve">maintains a professional yet empathetic demeanor. The review notes that the</w:t>
      </w:r>
      <w:r>
        <w:t xml:space="preserve"> </w:t>
      </w:r>
      <w:r>
        <w:rPr>
          <w:bCs/>
          <w:b/>
        </w:rPr>
        <w:t xml:space="preserve">Lawyer</w:t>
      </w:r>
      <w:r>
        <w:t xml:space="preserve"> </w:t>
      </w:r>
      <w:r>
        <w:t xml:space="preserve">effectively utilizes both French and English to ensure that no client feels disadvantaged due to language barriers.</w:t>
      </w:r>
    </w:p>
    <w:bookmarkEnd w:id="24"/>
    <w:bookmarkStart w:id="25" w:name="continuing-professional-development"/>
    <w:p>
      <w:pPr>
        <w:pStyle w:val="Heading2"/>
      </w:pPr>
      <w:r>
        <w:t xml:space="preserve">6. Continuing Professional Development</w:t>
      </w:r>
    </w:p>
    <w:p>
      <w:pPr>
        <w:pStyle w:val="FirstParagraph"/>
      </w:pPr>
      <w:r>
        <w:t xml:space="preserve">The legal landscape in</w:t>
      </w:r>
      <w:r>
        <w:t xml:space="preserve"> </w:t>
      </w:r>
      <w:r>
        <w:rPr>
          <w:bCs/>
          <w:b/>
        </w:rPr>
        <w:t xml:space="preserve">Canada Montreal</w:t>
      </w:r>
      <w:r>
        <w:t xml:space="preserve"> </w:t>
      </w:r>
      <w:r>
        <w:t xml:space="preserve">is constantly evolving, with frequent amendments to legislation and new judicial interpretations. This</w:t>
      </w:r>
      <w:r>
        <w:t xml:space="preserve"> </w:t>
      </w:r>
      <w:r>
        <w:rPr>
          <w:bCs/>
          <w:b/>
        </w:rPr>
        <w:t xml:space="preserve">Peer Review Report</w:t>
      </w:r>
      <w:r>
        <w:t xml:space="preserve"> </w:t>
      </w:r>
      <w:r>
        <w:t xml:space="preserve">verifies that the</w:t>
      </w:r>
      <w:r>
        <w:t xml:space="preserve"> </w:t>
      </w:r>
      <w:r>
        <w:rPr>
          <w:bCs/>
          <w:b/>
        </w:rPr>
        <w:t xml:space="preserve">Lawyer</w:t>
      </w:r>
      <w:r>
        <w:t xml:space="preserve"> </w:t>
      </w:r>
      <w:r>
        <w:t xml:space="preserve">is actively engaged in continuing legal education (CLE). The subject has completed the mandatory hours required by the Barreau du Québec and has pursued additional training in emerging areas of law, such as digital privacy and environmental regulations specific to Quebec. This commitment to lifelong learning ensures that the</w:t>
      </w:r>
      <w:r>
        <w:t xml:space="preserve"> </w:t>
      </w:r>
      <w:r>
        <w:rPr>
          <w:bCs/>
          <w:b/>
        </w:rPr>
        <w:t xml:space="preserve">Lawyer</w:t>
      </w:r>
      <w:r>
        <w:t xml:space="preserve"> </w:t>
      </w:r>
      <w:r>
        <w:t xml:space="preserve">remains at the forefront of legal practice in the region.</w:t>
      </w:r>
    </w:p>
    <w:bookmarkEnd w:id="25"/>
    <w:bookmarkStart w:id="26" w:name="recommendations-and-conclusion"/>
    <w:p>
      <w:pPr>
        <w:pStyle w:val="Heading2"/>
      </w:pPr>
      <w:r>
        <w:t xml:space="preserve">7. Recommendations and Conclusion</w:t>
      </w:r>
    </w:p>
    <w:p>
      <w:pPr>
        <w:pStyle w:val="FirstParagraph"/>
      </w:pPr>
      <w:r>
        <w:t xml:space="preserve">Based on the comprehensive evaluation detailed in this</w:t>
      </w:r>
      <w:r>
        <w:t xml:space="preserve"> </w:t>
      </w:r>
      <w:r>
        <w:rPr>
          <w:bCs/>
          <w:b/>
        </w:rPr>
        <w:t xml:space="preserve">Peer Review Report</w:t>
      </w:r>
      <w:r>
        <w:t xml:space="preserve">, the subject</w:t>
      </w:r>
      <w:r>
        <w:t xml:space="preserve"> </w:t>
      </w:r>
      <w:r>
        <w:rPr>
          <w:bCs/>
          <w:b/>
        </w:rPr>
        <w:t xml:space="preserve">Lawyer</w:t>
      </w:r>
      <w:r>
        <w:t xml:space="preserve"> </w:t>
      </w:r>
      <w:r>
        <w:t xml:space="preserve">is deemed to be practicing at a high level of competence and ethical integrity. The review confirms that the</w:t>
      </w:r>
      <w:r>
        <w:t xml:space="preserve"> </w:t>
      </w:r>
      <w:r>
        <w:rPr>
          <w:bCs/>
          <w:b/>
        </w:rPr>
        <w:t xml:space="preserve">Lawyer</w:t>
      </w:r>
      <w:r>
        <w:t xml:space="preserve"> </w:t>
      </w:r>
      <w:r>
        <w:t xml:space="preserve">is well-equipped to handle the complexities of the legal system in</w:t>
      </w:r>
      <w:r>
        <w:t xml:space="preserve"> </w:t>
      </w:r>
      <w:r>
        <w:rPr>
          <w:bCs/>
          <w:b/>
        </w:rPr>
        <w:t xml:space="preserve">Canada Montreal</w:t>
      </w:r>
      <w:r>
        <w:t xml:space="preserve">.</w:t>
      </w:r>
    </w:p>
    <w:p>
      <w:pPr>
        <w:pStyle w:val="BodyText"/>
      </w:pPr>
      <w:r>
        <w:t xml:space="preserve">While the overall assessment is positive, the following recommendations are made to further enhance practice:</w:t>
      </w:r>
    </w:p>
    <w:p>
      <w:pPr>
        <w:numPr>
          <w:ilvl w:val="0"/>
          <w:numId w:val="1002"/>
        </w:numPr>
        <w:pStyle w:val="Compact"/>
      </w:pPr>
      <w:r>
        <w:t xml:space="preserve">Continue to refine bilingual drafting skills to ensure absolute parity between language versions.</w:t>
      </w:r>
    </w:p>
    <w:p>
      <w:pPr>
        <w:numPr>
          <w:ilvl w:val="0"/>
          <w:numId w:val="1002"/>
        </w:numPr>
        <w:pStyle w:val="Compact"/>
      </w:pPr>
      <w:r>
        <w:t xml:space="preserve">Engage more deeply with local legal clinics to contribute to the community and stay connected with grassroots legal issues in Montreal.</w:t>
      </w:r>
    </w:p>
    <w:p>
      <w:pPr>
        <w:numPr>
          <w:ilvl w:val="0"/>
          <w:numId w:val="1002"/>
        </w:numPr>
        <w:pStyle w:val="Compact"/>
      </w:pPr>
      <w:r>
        <w:t xml:space="preserve">Regularly update internal protocols to reflect the latest technological advancements in legal practice management.</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Lawyer</w:t>
      </w:r>
      <w:r>
        <w:t xml:space="preserve"> </w:t>
      </w:r>
      <w:r>
        <w:t xml:space="preserve">under review upholds the dignity and reputation of the legal profession in</w:t>
      </w:r>
      <w:r>
        <w:t xml:space="preserve"> </w:t>
      </w:r>
      <w:r>
        <w:rPr>
          <w:bCs/>
          <w:b/>
        </w:rPr>
        <w:t xml:space="preserve">Canada Montreal</w:t>
      </w:r>
      <w:r>
        <w:t xml:space="preserve">. The subject's dedication to their clients, adherence to ethical standards, and mastery of Quebec law make them a valuable asset to the legal community.</w:t>
      </w:r>
    </w:p>
    <w:p>
      <w:pPr>
        <w:pStyle w:val="BodyText"/>
      </w:pPr>
      <w:r>
        <w:rPr>
          <w:bCs/>
          <w:b/>
        </w:rPr>
        <w:t xml:space="preserve">Prepared by:</w:t>
      </w:r>
      <w:r>
        <w:t xml:space="preserve"> </w:t>
      </w:r>
      <w:r>
        <w:t xml:space="preserve">Independent Peer Review Committee</w:t>
      </w:r>
    </w:p>
    <w:p>
      <w:pPr>
        <w:pStyle w:val="BodyText"/>
      </w:pPr>
      <w:r>
        <w:rPr>
          <w:bCs/>
          <w:b/>
        </w:rPr>
        <w:t xml:space="preserve">Affiliation:</w:t>
      </w:r>
      <w:r>
        <w:t xml:space="preserve"> </w:t>
      </w:r>
      <w:r>
        <w:t xml:space="preserve">Barreau du Québec</w:t>
      </w:r>
    </w:p>
    <w:p>
      <w:pPr>
        <w:pStyle w:val="BodyText"/>
      </w:pPr>
      <w:r>
        <w:rPr>
          <w:bCs/>
          <w:b/>
        </w:rPr>
        <w:t xml:space="preserve">Location:</w:t>
      </w:r>
      <w:r>
        <w:t xml:space="preserve"> </w:t>
      </w:r>
      <w:r>
        <w:t xml:space="preserve">Montreal, Quebec, Canada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Standards in Canada Montreal</dc:title>
  <dc:creator/>
  <dc:language>en</dc:language>
  <cp:keywords/>
  <dcterms:created xsi:type="dcterms:W3CDTF">2026-10-10T04:26:55Z</dcterms:created>
  <dcterms:modified xsi:type="dcterms:W3CDTF">2026-10-10T04:26:55Z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