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Peer</w:t>
      </w:r>
      <w:r>
        <w:t xml:space="preserve"> </w:t>
      </w:r>
      <w:r>
        <w:t xml:space="preserve">Review</w:t>
      </w:r>
      <w:r>
        <w:t xml:space="preserve"> </w:t>
      </w:r>
      <w:r>
        <w:t xml:space="preserve">Report:</w:t>
      </w:r>
      <w:r>
        <w:t xml:space="preserve"> </w:t>
      </w:r>
      <w:r>
        <w:t xml:space="preserve">Legal</w:t>
      </w:r>
      <w:r>
        <w:t xml:space="preserve"> </w:t>
      </w:r>
      <w:r>
        <w:t xml:space="preserve">Practice</w:t>
      </w:r>
      <w:r>
        <w:t xml:space="preserve"> </w:t>
      </w:r>
      <w:r>
        <w:t xml:space="preserve">Standards</w:t>
      </w:r>
      <w:r>
        <w:t xml:space="preserve"> </w:t>
      </w:r>
      <w:r>
        <w:t xml:space="preserve">in</w:t>
      </w:r>
      <w:r>
        <w:t xml:space="preserve"> </w:t>
      </w:r>
      <w:r>
        <w:t xml:space="preserve">Canada</w:t>
      </w:r>
      <w:r>
        <w:t xml:space="preserve"> </w:t>
      </w:r>
      <w:r>
        <w:t xml:space="preserve">Toronto</w:t>
      </w:r>
    </w:p>
    <w:p>
      <w:pPr>
        <w:pStyle w:val="FirstParagraph"/>
      </w:pPr>
      <w:r>
        <w:rPr>
          <w:bCs/>
          <w:b/>
        </w:rPr>
        <w:t xml:space="preserve">Document Type:</w:t>
      </w:r>
      <w:r>
        <w:t xml:space="preserve"> </w:t>
      </w:r>
      <w:r>
        <w:t xml:space="preserve">Peer Review Report</w:t>
      </w:r>
      <w:r>
        <w:br/>
      </w:r>
      <w:r>
        <w:rPr>
          <w:bCs/>
          <w:b/>
        </w:rPr>
        <w:t xml:space="preserve">Subject:</w:t>
      </w:r>
      <w:r>
        <w:t xml:space="preserve"> </w:t>
      </w:r>
      <w:r>
        <w:t xml:space="preserve">Professional Competence and Ethical Compliance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Canada Toronto</w:t>
      </w:r>
    </w:p>
    <w:p>
      <w:pPr>
        <w:pStyle w:val="BodyText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24, 2023</w:t>
      </w:r>
      <w:r>
        <w:br/>
      </w:r>
      <w:r>
        <w:rPr>
          <w:bCs/>
          <w:b/>
        </w:rPr>
        <w:t xml:space="preserve">Reviewing Body:</w:t>
      </w:r>
      <w:r>
        <w:t xml:space="preserve"> </w:t>
      </w:r>
      <w:r>
        <w:t xml:space="preserve">Ontario Bar Association Peer Review Program</w:t>
      </w:r>
      <w:r>
        <w:br/>
      </w:r>
      <w:r>
        <w:rPr>
          <w:bCs/>
          <w:b/>
        </w:rPr>
        <w:t xml:space="preserve">Reference ID:</w:t>
      </w:r>
      <w:r>
        <w:t xml:space="preserve"> </w:t>
      </w:r>
      <w:r>
        <w:t xml:space="preserve">TOR-PR-2023-894</w:t>
      </w:r>
    </w:p>
    <w:bookmarkStart w:id="26" w:name="X99ebfc01f6e6d0f8daf3d9e7ddc14d69c789583"/>
    <w:p>
      <w:pPr>
        <w:pStyle w:val="Heading1"/>
      </w:pPr>
      <w:r>
        <w:t xml:space="preserve">Peer Review Report: Assessment of Legal Practice Standards</w:t>
      </w:r>
    </w:p>
    <w:p>
      <w:pPr>
        <w:pStyle w:val="FirstParagraph"/>
      </w:pPr>
      <w:r>
        <w:t xml:space="preserve">This document serves as a formal</w:t>
      </w:r>
      <w:r>
        <w:t xml:space="preserve"> </w:t>
      </w:r>
      <w:r>
        <w:rPr>
          <w:bCs/>
          <w:b/>
        </w:rPr>
        <w:t xml:space="preserve">Peer Review Report</w:t>
      </w:r>
      <w:r>
        <w:t xml:space="preserve"> </w:t>
      </w:r>
      <w:r>
        <w:t xml:space="preserve">conducted under the auspices of the Law Society of Ontario (LSO). The purpose of this review is to evaluate the professional competence, ethical adherence, and procedural efficiency of a practicing</w:t>
      </w:r>
      <w:r>
        <w:t xml:space="preserve"> </w:t>
      </w:r>
      <w:r>
        <w:rPr>
          <w:bCs/>
          <w:b/>
        </w:rPr>
        <w:t xml:space="preserve">Lawyer</w:t>
      </w:r>
      <w:r>
        <w:t xml:space="preserve"> </w:t>
      </w:r>
      <w:r>
        <w:t xml:space="preserve">operating within the jurisdiction of</w:t>
      </w:r>
      <w:r>
        <w:t xml:space="preserve"> </w:t>
      </w:r>
      <w:r>
        <w:rPr>
          <w:bCs/>
          <w:b/>
        </w:rPr>
        <w:t xml:space="preserve">Canada Toronto</w:t>
      </w:r>
      <w:r>
        <w:t xml:space="preserve">. As the legal capital of the province, Toronto presents a unique, high-pressure environment where legal practitioners must navigate complex municipal regulations, diverse client demographics, and rigorous provincial statutes. This report outlines the findings of a comprehensive audit of the subject</w:t>
      </w:r>
      <w:r>
        <w:t xml:space="preserve"> </w:t>
      </w:r>
      <w:r>
        <w:rPr>
          <w:bCs/>
          <w:b/>
        </w:rPr>
        <w:t xml:space="preserve">Lawyer</w:t>
      </w:r>
      <w:r>
        <w:t xml:space="preserve">'s practice management, client care, and substantive legal knowledge.</w:t>
      </w:r>
    </w:p>
    <w:bookmarkStart w:id="20" w:name="introduction-and-scope-of-review"/>
    <w:p>
      <w:pPr>
        <w:pStyle w:val="Heading2"/>
      </w:pPr>
      <w:r>
        <w:t xml:space="preserve">1. Introduction and Scope of Review</w:t>
      </w:r>
    </w:p>
    <w:p>
      <w:pPr>
        <w:pStyle w:val="FirstParagraph"/>
      </w:pPr>
      <w:r>
        <w:t xml:space="preserve">The</w:t>
      </w:r>
      <w:r>
        <w:t xml:space="preserve"> </w:t>
      </w:r>
      <w:r>
        <w:rPr>
          <w:bCs/>
          <w:b/>
        </w:rPr>
        <w:t xml:space="preserve">Peer Review Report</w:t>
      </w:r>
      <w:r>
        <w:t xml:space="preserve"> </w:t>
      </w:r>
      <w:r>
        <w:t xml:space="preserve">process is a critical mechanism for maintaining public trust in the legal profession. In</w:t>
      </w:r>
      <w:r>
        <w:t xml:space="preserve"> </w:t>
      </w:r>
      <w:r>
        <w:rPr>
          <w:bCs/>
          <w:b/>
        </w:rPr>
        <w:t xml:space="preserve">Canada Toronto</w:t>
      </w:r>
      <w:r>
        <w:t xml:space="preserve">, where the volume of litigation and transactional work is immense, the standard of care expected from a</w:t>
      </w:r>
      <w:r>
        <w:t xml:space="preserve"> </w:t>
      </w:r>
      <w:r>
        <w:rPr>
          <w:bCs/>
          <w:b/>
        </w:rPr>
        <w:t xml:space="preserve">Lawyer</w:t>
      </w:r>
      <w:r>
        <w:t xml:space="preserve"> </w:t>
      </w:r>
      <w:r>
        <w:t xml:space="preserve">is exceptionally high. This review was initiated to assess compliance with the</w:t>
      </w:r>
      <w:r>
        <w:t xml:space="preserve"> </w:t>
      </w:r>
      <w:r>
        <w:rPr>
          <w:iCs/>
          <w:i/>
        </w:rPr>
        <w:t xml:space="preserve">Rules of Professional Conduct</w:t>
      </w:r>
      <w:r>
        <w:t xml:space="preserve"> </w:t>
      </w:r>
      <w:r>
        <w:t xml:space="preserve">and to ensure that the</w:t>
      </w:r>
      <w:r>
        <w:t xml:space="preserve"> </w:t>
      </w:r>
      <w:r>
        <w:rPr>
          <w:bCs/>
          <w:b/>
        </w:rPr>
        <w:t xml:space="preserve">Lawyer</w:t>
      </w:r>
      <w:r>
        <w:t xml:space="preserve"> </w:t>
      </w:r>
      <w:r>
        <w:t xml:space="preserve">is providing services that meet the contemporary standards of the Ontario legal community.</w:t>
      </w:r>
    </w:p>
    <w:p>
      <w:pPr>
        <w:pStyle w:val="BodyText"/>
      </w:pPr>
      <w:r>
        <w:t xml:space="preserve">The scope of this</w:t>
      </w:r>
      <w:r>
        <w:t xml:space="preserve"> </w:t>
      </w:r>
      <w:r>
        <w:rPr>
          <w:bCs/>
          <w:b/>
        </w:rPr>
        <w:t xml:space="preserve">Peer Review Report</w:t>
      </w:r>
      <w:r>
        <w:t xml:space="preserve"> </w:t>
      </w:r>
      <w:r>
        <w:t xml:space="preserve">included an examination of:</w:t>
      </w:r>
    </w:p>
    <w:p>
      <w:pPr>
        <w:numPr>
          <w:ilvl w:val="0"/>
          <w:numId w:val="1001"/>
        </w:numPr>
        <w:pStyle w:val="Compact"/>
      </w:pPr>
      <w:r>
        <w:t xml:space="preserve">File management and organization within the</w:t>
      </w:r>
      <w:r>
        <w:t xml:space="preserve"> </w:t>
      </w:r>
      <w:r>
        <w:rPr>
          <w:bCs/>
          <w:b/>
        </w:rPr>
        <w:t xml:space="preserve">Lawyer</w:t>
      </w:r>
      <w:r>
        <w:t xml:space="preserve">'s Toronto office.</w:t>
      </w:r>
    </w:p>
    <w:p>
      <w:pPr>
        <w:numPr>
          <w:ilvl w:val="0"/>
          <w:numId w:val="1001"/>
        </w:numPr>
        <w:pStyle w:val="Compact"/>
      </w:pPr>
      <w:r>
        <w:t xml:space="preserve">Adherence to conflict of interest checks specific to the dense professional network in</w:t>
      </w:r>
      <w:r>
        <w:t xml:space="preserve"> </w:t>
      </w:r>
      <w:r>
        <w:rPr>
          <w:bCs/>
          <w:b/>
        </w:rPr>
        <w:t xml:space="preserve">Canada Toronto</w:t>
      </w:r>
      <w:r>
        <w:t xml:space="preserve">.</w:t>
      </w:r>
    </w:p>
    <w:p>
      <w:pPr>
        <w:numPr>
          <w:ilvl w:val="0"/>
          <w:numId w:val="1001"/>
        </w:numPr>
        <w:pStyle w:val="Compact"/>
      </w:pPr>
      <w:r>
        <w:t xml:space="preserve">Quality of legal research and drafting in recent civil litigation matters.</w:t>
      </w:r>
    </w:p>
    <w:p>
      <w:pPr>
        <w:numPr>
          <w:ilvl w:val="0"/>
          <w:numId w:val="1001"/>
        </w:numPr>
        <w:pStyle w:val="Compact"/>
      </w:pPr>
      <w:r>
        <w:t xml:space="preserve">Compliance with trust accounting regulations as mandated by the LSO.</w:t>
      </w:r>
    </w:p>
    <w:bookmarkEnd w:id="20"/>
    <w:bookmarkStart w:id="21" w:name="assessment-of-professional-competence"/>
    <w:p>
      <w:pPr>
        <w:pStyle w:val="Heading2"/>
      </w:pPr>
      <w:r>
        <w:t xml:space="preserve">2. Assessment of Professional Competence</w:t>
      </w:r>
    </w:p>
    <w:p>
      <w:pPr>
        <w:pStyle w:val="FirstParagraph"/>
      </w:pPr>
      <w:r>
        <w:t xml:space="preserve">A primary focus of this</w:t>
      </w:r>
      <w:r>
        <w:t xml:space="preserve"> </w:t>
      </w:r>
      <w:r>
        <w:rPr>
          <w:bCs/>
          <w:b/>
        </w:rPr>
        <w:t xml:space="preserve">Peer Review Report</w:t>
      </w:r>
      <w:r>
        <w:t xml:space="preserve"> </w:t>
      </w:r>
      <w:r>
        <w:t xml:space="preserve">is the substantive legal ability of the</w:t>
      </w:r>
      <w:r>
        <w:t xml:space="preserve"> </w:t>
      </w:r>
      <w:r>
        <w:rPr>
          <w:bCs/>
          <w:b/>
        </w:rPr>
        <w:t xml:space="preserve">Lawyer</w:t>
      </w:r>
      <w:r>
        <w:t xml:space="preserve">. The review panel analyzed a random selection of twenty active files. The findings indicate that the</w:t>
      </w:r>
      <w:r>
        <w:t xml:space="preserve"> </w:t>
      </w:r>
      <w:r>
        <w:rPr>
          <w:bCs/>
          <w:b/>
        </w:rPr>
        <w:t xml:space="preserve">Lawyer</w:t>
      </w:r>
      <w:r>
        <w:t xml:space="preserve"> </w:t>
      </w:r>
      <w:r>
        <w:t xml:space="preserve">demonstrates a robust understanding of Ontario civil procedure and substantive law. However, the dynamic nature of the legal landscape in</w:t>
      </w:r>
      <w:r>
        <w:t xml:space="preserve"> </w:t>
      </w:r>
      <w:r>
        <w:rPr>
          <w:bCs/>
          <w:b/>
        </w:rPr>
        <w:t xml:space="preserve">Canada Toronto</w:t>
      </w:r>
      <w:r>
        <w:t xml:space="preserve"> </w:t>
      </w:r>
      <w:r>
        <w:t xml:space="preserve">requires continuous professional development.</w:t>
      </w:r>
    </w:p>
    <w:p>
      <w:pPr>
        <w:pStyle w:val="BodyText"/>
      </w:pPr>
      <w:r>
        <w:t xml:space="preserve">While the</w:t>
      </w:r>
      <w:r>
        <w:t xml:space="preserve"> </w:t>
      </w:r>
      <w:r>
        <w:rPr>
          <w:bCs/>
          <w:b/>
        </w:rPr>
        <w:t xml:space="preserve">Lawyer</w:t>
      </w:r>
      <w:r>
        <w:t xml:space="preserve"> </w:t>
      </w:r>
      <w:r>
        <w:t xml:space="preserve">showed proficiency in contract law, the</w:t>
      </w:r>
      <w:r>
        <w:t xml:space="preserve"> </w:t>
      </w:r>
      <w:r>
        <w:rPr>
          <w:bCs/>
          <w:b/>
        </w:rPr>
        <w:t xml:space="preserve">Peer Review Report</w:t>
      </w:r>
      <w:r>
        <w:t xml:space="preserve"> </w:t>
      </w:r>
      <w:r>
        <w:t xml:space="preserve">noted minor deficiencies in the application of recent amendments to the</w:t>
      </w:r>
      <w:r>
        <w:t xml:space="preserve"> </w:t>
      </w:r>
      <w:r>
        <w:rPr>
          <w:iCs/>
          <w:i/>
        </w:rPr>
        <w:t xml:space="preserve">Landlord and Tenant Board</w:t>
      </w:r>
      <w:r>
        <w:t xml:space="preserve"> </w:t>
      </w:r>
      <w:r>
        <w:t xml:space="preserve">regulations, a frequent area of practice in Toronto. It is recommended that the</w:t>
      </w:r>
      <w:r>
        <w:t xml:space="preserve"> </w:t>
      </w:r>
      <w:r>
        <w:rPr>
          <w:bCs/>
          <w:b/>
        </w:rPr>
        <w:t xml:space="preserve">Lawyer</w:t>
      </w:r>
      <w:r>
        <w:t xml:space="preserve"> </w:t>
      </w:r>
      <w:r>
        <w:t xml:space="preserve">engage in targeted continuing legal education (CLE) to address these specific gaps. The complexity of real estate transactions in</w:t>
      </w:r>
      <w:r>
        <w:t xml:space="preserve"> </w:t>
      </w:r>
      <w:r>
        <w:rPr>
          <w:bCs/>
          <w:b/>
        </w:rPr>
        <w:t xml:space="preserve">Canada Toronto</w:t>
      </w:r>
      <w:r>
        <w:t xml:space="preserve"> </w:t>
      </w:r>
      <w:r>
        <w:t xml:space="preserve">demands absolute precision, and any lapse in knowledge can result in significant liability for both the practitioner and the client.</w:t>
      </w:r>
    </w:p>
    <w:bookmarkEnd w:id="21"/>
    <w:bookmarkStart w:id="22" w:name="X62fe487662b7cc7f707b18b6c2fe2960ce58739"/>
    <w:p>
      <w:pPr>
        <w:pStyle w:val="Heading2"/>
      </w:pPr>
      <w:r>
        <w:t xml:space="preserve">3. Ethical Compliance and Conflict of Interest</w:t>
      </w:r>
    </w:p>
    <w:p>
      <w:pPr>
        <w:pStyle w:val="FirstParagraph"/>
      </w:pPr>
      <w:r>
        <w:t xml:space="preserve">Operating in</w:t>
      </w:r>
      <w:r>
        <w:t xml:space="preserve"> </w:t>
      </w:r>
      <w:r>
        <w:rPr>
          <w:bCs/>
          <w:b/>
        </w:rPr>
        <w:t xml:space="preserve">Canada Toronto</w:t>
      </w:r>
      <w:r>
        <w:t xml:space="preserve"> </w:t>
      </w:r>
      <w:r>
        <w:t xml:space="preserve">presents unique ethical challenges due to the high concentration of legal professionals and corporate entities. A</w:t>
      </w:r>
      <w:r>
        <w:t xml:space="preserve"> </w:t>
      </w:r>
      <w:r>
        <w:rPr>
          <w:bCs/>
          <w:b/>
        </w:rPr>
        <w:t xml:space="preserve">Lawyer</w:t>
      </w:r>
      <w:r>
        <w:t xml:space="preserve"> </w:t>
      </w:r>
      <w:r>
        <w:t xml:space="preserve">in this jurisdiction must be hyper-vigilant regarding conflicts of interest. This</w:t>
      </w:r>
      <w:r>
        <w:t xml:space="preserve"> </w:t>
      </w:r>
      <w:r>
        <w:rPr>
          <w:bCs/>
          <w:b/>
        </w:rPr>
        <w:t xml:space="preserve">Peer Review Report</w:t>
      </w:r>
      <w:r>
        <w:t xml:space="preserve"> </w:t>
      </w:r>
      <w:r>
        <w:t xml:space="preserve">scrutinized the</w:t>
      </w:r>
      <w:r>
        <w:t xml:space="preserve"> </w:t>
      </w:r>
      <w:r>
        <w:rPr>
          <w:bCs/>
          <w:b/>
        </w:rPr>
        <w:t xml:space="preserve">Lawyer</w:t>
      </w:r>
      <w:r>
        <w:t xml:space="preserve">'s conflict screening protocols.</w:t>
      </w:r>
    </w:p>
    <w:p>
      <w:pPr>
        <w:pStyle w:val="BodyText"/>
      </w:pPr>
      <w:r>
        <w:t xml:space="preserve">The review found that the</w:t>
      </w:r>
      <w:r>
        <w:t xml:space="preserve"> </w:t>
      </w:r>
      <w:r>
        <w:rPr>
          <w:bCs/>
          <w:b/>
        </w:rPr>
        <w:t xml:space="preserve">Lawyer</w:t>
      </w:r>
      <w:r>
        <w:t xml:space="preserve"> </w:t>
      </w:r>
      <w:r>
        <w:t xml:space="preserve">maintains a digital conflict check system, which is a positive step. However, the</w:t>
      </w:r>
      <w:r>
        <w:t xml:space="preserve"> </w:t>
      </w:r>
      <w:r>
        <w:rPr>
          <w:bCs/>
          <w:b/>
        </w:rPr>
        <w:t xml:space="preserve">Peer Review Report</w:t>
      </w:r>
      <w:r>
        <w:t xml:space="preserve"> </w:t>
      </w:r>
      <w:r>
        <w:t xml:space="preserve">identified instances where the screening was performed after the initial client consultation rather than before. In the fast-paced environment of Toronto, this delay poses a risk. The</w:t>
      </w:r>
      <w:r>
        <w:t xml:space="preserve"> </w:t>
      </w:r>
      <w:r>
        <w:rPr>
          <w:bCs/>
          <w:b/>
        </w:rPr>
        <w:t xml:space="preserve">Lawyer</w:t>
      </w:r>
      <w:r>
        <w:t xml:space="preserve"> </w:t>
      </w:r>
      <w:r>
        <w:t xml:space="preserve">must ensure that all potential conflicts are identified prior to any substantive legal advice being given. This is non-negotiable under the LSO rules and is essential for maintaining the integrity of the profession in</w:t>
      </w:r>
      <w:r>
        <w:t xml:space="preserve"> </w:t>
      </w:r>
      <w:r>
        <w:rPr>
          <w:bCs/>
          <w:b/>
        </w:rPr>
        <w:t xml:space="preserve">Canada Toronto</w:t>
      </w:r>
      <w:r>
        <w:t xml:space="preserve">.</w:t>
      </w:r>
    </w:p>
    <w:bookmarkEnd w:id="22"/>
    <w:bookmarkStart w:id="23" w:name="client-care-and-communication"/>
    <w:p>
      <w:pPr>
        <w:pStyle w:val="Heading2"/>
      </w:pPr>
      <w:r>
        <w:t xml:space="preserve">4. Client Care and Communication</w:t>
      </w:r>
    </w:p>
    <w:p>
      <w:pPr>
        <w:pStyle w:val="FirstParagraph"/>
      </w:pPr>
      <w:r>
        <w:t xml:space="preserve">Effective communication is the cornerstone of the</w:t>
      </w:r>
      <w:r>
        <w:t xml:space="preserve"> </w:t>
      </w:r>
      <w:r>
        <w:rPr>
          <w:bCs/>
          <w:b/>
        </w:rPr>
        <w:t xml:space="preserve">Lawyer</w:t>
      </w:r>
      <w:r>
        <w:t xml:space="preserve">-client relationship. This</w:t>
      </w:r>
      <w:r>
        <w:t xml:space="preserve"> </w:t>
      </w:r>
      <w:r>
        <w:rPr>
          <w:bCs/>
          <w:b/>
        </w:rPr>
        <w:t xml:space="preserve">Peer Review Report</w:t>
      </w:r>
      <w:r>
        <w:t xml:space="preserve"> </w:t>
      </w:r>
      <w:r>
        <w:t xml:space="preserve">evaluated the</w:t>
      </w:r>
      <w:r>
        <w:t xml:space="preserve"> </w:t>
      </w:r>
      <w:r>
        <w:rPr>
          <w:bCs/>
          <w:b/>
        </w:rPr>
        <w:t xml:space="preserve">Lawyer</w:t>
      </w:r>
      <w:r>
        <w:t xml:space="preserve">'s responsiveness and clarity in communication. Given the multicultural and multilingual nature of</w:t>
      </w:r>
      <w:r>
        <w:t xml:space="preserve"> </w:t>
      </w:r>
      <w:r>
        <w:rPr>
          <w:bCs/>
          <w:b/>
        </w:rPr>
        <w:t xml:space="preserve">Canada Toronto</w:t>
      </w:r>
      <w:r>
        <w:t xml:space="preserve">, a</w:t>
      </w:r>
      <w:r>
        <w:t xml:space="preserve"> </w:t>
      </w:r>
      <w:r>
        <w:rPr>
          <w:bCs/>
          <w:b/>
        </w:rPr>
        <w:t xml:space="preserve">Lawyer</w:t>
      </w:r>
      <w:r>
        <w:t xml:space="preserve"> </w:t>
      </w:r>
      <w:r>
        <w:t xml:space="preserve">must be adept at communicating with a diverse clientele.</w:t>
      </w:r>
    </w:p>
    <w:p>
      <w:pPr>
        <w:pStyle w:val="BodyText"/>
      </w:pPr>
      <w:r>
        <w:t xml:space="preserve">The findings suggest that while the</w:t>
      </w:r>
      <w:r>
        <w:t xml:space="preserve"> </w:t>
      </w:r>
      <w:r>
        <w:rPr>
          <w:bCs/>
          <w:b/>
        </w:rPr>
        <w:t xml:space="preserve">Lawyer</w:t>
      </w:r>
      <w:r>
        <w:t xml:space="preserve"> </w:t>
      </w:r>
      <w:r>
        <w:t xml:space="preserve">is technically proficient, there is room for improvement in client updates. Several files reviewed showed gaps in communication logs exceeding thirty days. In a major metropolitan hub like Toronto, clients expect timely updates regarding their legal matters. The</w:t>
      </w:r>
      <w:r>
        <w:t xml:space="preserve"> </w:t>
      </w:r>
      <w:r>
        <w:rPr>
          <w:bCs/>
          <w:b/>
        </w:rPr>
        <w:t xml:space="preserve">Peer Review Report</w:t>
      </w:r>
      <w:r>
        <w:t xml:space="preserve"> </w:t>
      </w:r>
      <w:r>
        <w:t xml:space="preserve">recommends the implementation of a client portal or a standardized update schedule to ensure that clients in</w:t>
      </w:r>
      <w:r>
        <w:t xml:space="preserve"> </w:t>
      </w:r>
      <w:r>
        <w:rPr>
          <w:bCs/>
          <w:b/>
        </w:rPr>
        <w:t xml:space="preserve">Canada Toronto</w:t>
      </w:r>
      <w:r>
        <w:t xml:space="preserve"> </w:t>
      </w:r>
      <w:r>
        <w:t xml:space="preserve">feel informed and valued throughout the legal process.</w:t>
      </w:r>
    </w:p>
    <w:bookmarkEnd w:id="23"/>
    <w:bookmarkStart w:id="24" w:name="practice-management-and-trust-accounting"/>
    <w:p>
      <w:pPr>
        <w:pStyle w:val="Heading2"/>
      </w:pPr>
      <w:r>
        <w:t xml:space="preserve">5. Practice Management and Trust Accounting</w:t>
      </w:r>
    </w:p>
    <w:p>
      <w:pPr>
        <w:pStyle w:val="FirstParagraph"/>
      </w:pPr>
      <w:r>
        <w:t xml:space="preserve">Financial integrity is paramount. This</w:t>
      </w:r>
      <w:r>
        <w:t xml:space="preserve"> </w:t>
      </w:r>
      <w:r>
        <w:rPr>
          <w:bCs/>
          <w:b/>
        </w:rPr>
        <w:t xml:space="preserve">Peer Review Report</w:t>
      </w:r>
      <w:r>
        <w:t xml:space="preserve"> </w:t>
      </w:r>
      <w:r>
        <w:t xml:space="preserve">conducted a detailed audit of the</w:t>
      </w:r>
      <w:r>
        <w:t xml:space="preserve"> </w:t>
      </w:r>
      <w:r>
        <w:rPr>
          <w:bCs/>
          <w:b/>
        </w:rPr>
        <w:t xml:space="preserve">Lawyer</w:t>
      </w:r>
      <w:r>
        <w:t xml:space="preserve">'s trust accounts. The</w:t>
      </w:r>
      <w:r>
        <w:t xml:space="preserve"> </w:t>
      </w:r>
      <w:r>
        <w:rPr>
          <w:bCs/>
          <w:b/>
        </w:rPr>
        <w:t xml:space="preserve">Lawyer</w:t>
      </w:r>
      <w:r>
        <w:t xml:space="preserve"> </w:t>
      </w:r>
      <w:r>
        <w:t xml:space="preserve">was found to be generally compliant with the LSO's trust accounting rules. However, the</w:t>
      </w:r>
      <w:r>
        <w:t xml:space="preserve"> </w:t>
      </w:r>
      <w:r>
        <w:rPr>
          <w:bCs/>
          <w:b/>
        </w:rPr>
        <w:t xml:space="preserve">Peer Review Report</w:t>
      </w:r>
      <w:r>
        <w:t xml:space="preserve"> </w:t>
      </w:r>
      <w:r>
        <w:t xml:space="preserve">noted that reconciliation reports were occasionally filed late.</w:t>
      </w:r>
    </w:p>
    <w:p>
      <w:pPr>
        <w:pStyle w:val="BodyText"/>
      </w:pPr>
      <w:r>
        <w:t xml:space="preserve">In</w:t>
      </w:r>
      <w:r>
        <w:t xml:space="preserve"> </w:t>
      </w:r>
      <w:r>
        <w:rPr>
          <w:bCs/>
          <w:b/>
        </w:rPr>
        <w:t xml:space="preserve">Canada Toronto</w:t>
      </w:r>
      <w:r>
        <w:t xml:space="preserve">, where transaction volumes are high, the risk of commingling funds or administrative errors increases. The</w:t>
      </w:r>
      <w:r>
        <w:t xml:space="preserve"> </w:t>
      </w:r>
      <w:r>
        <w:rPr>
          <w:bCs/>
          <w:b/>
        </w:rPr>
        <w:t xml:space="preserve">Lawyer</w:t>
      </w:r>
      <w:r>
        <w:t xml:space="preserve"> </w:t>
      </w:r>
      <w:r>
        <w:t xml:space="preserve">must prioritize the timely reconciliation of trust accounts to ensure that client funds are protected. The</w:t>
      </w:r>
      <w:r>
        <w:t xml:space="preserve"> </w:t>
      </w:r>
      <w:r>
        <w:rPr>
          <w:bCs/>
          <w:b/>
        </w:rPr>
        <w:t xml:space="preserve">Peer Review Report</w:t>
      </w:r>
      <w:r>
        <w:t xml:space="preserve"> </w:t>
      </w:r>
      <w:r>
        <w:t xml:space="preserve">emphasizes that strict adherence to financial protocols is not merely an administrative task but a fundamental ethical obligation for every</w:t>
      </w:r>
      <w:r>
        <w:t xml:space="preserve"> </w:t>
      </w:r>
      <w:r>
        <w:rPr>
          <w:bCs/>
          <w:b/>
        </w:rPr>
        <w:t xml:space="preserve">Lawyer</w:t>
      </w:r>
      <w:r>
        <w:t xml:space="preserve"> </w:t>
      </w:r>
      <w:r>
        <w:t xml:space="preserve">in the province.</w:t>
      </w:r>
    </w:p>
    <w:bookmarkEnd w:id="24"/>
    <w:bookmarkStart w:id="25" w:name="conclusion-and-recommendations"/>
    <w:p>
      <w:pPr>
        <w:pStyle w:val="Heading2"/>
      </w:pPr>
      <w:r>
        <w:t xml:space="preserve">6. Conclusion and Recommendations</w:t>
      </w:r>
    </w:p>
    <w:p>
      <w:pPr>
        <w:pStyle w:val="FirstParagraph"/>
      </w:pPr>
      <w:r>
        <w:t xml:space="preserve">In conclusion, this</w:t>
      </w:r>
      <w:r>
        <w:t xml:space="preserve"> </w:t>
      </w:r>
      <w:r>
        <w:rPr>
          <w:bCs/>
          <w:b/>
        </w:rPr>
        <w:t xml:space="preserve">Peer Review Report</w:t>
      </w:r>
      <w:r>
        <w:t xml:space="preserve"> </w:t>
      </w:r>
      <w:r>
        <w:t xml:space="preserve">finds that the subject</w:t>
      </w:r>
      <w:r>
        <w:t xml:space="preserve"> </w:t>
      </w:r>
      <w:r>
        <w:rPr>
          <w:bCs/>
          <w:b/>
        </w:rPr>
        <w:t xml:space="preserve">Lawyer</w:t>
      </w:r>
      <w:r>
        <w:t xml:space="preserve"> </w:t>
      </w:r>
      <w:r>
        <w:t xml:space="preserve">is generally competent and operates with good intent. However, to fully meet the rigorous standards expected of a legal professional in</w:t>
      </w:r>
      <w:r>
        <w:t xml:space="preserve"> </w:t>
      </w:r>
      <w:r>
        <w:rPr>
          <w:bCs/>
          <w:b/>
        </w:rPr>
        <w:t xml:space="preserve">Canada Toronto</w:t>
      </w:r>
      <w:r>
        <w:t xml:space="preserve">, specific improvements are necessary. The</w:t>
      </w:r>
      <w:r>
        <w:t xml:space="preserve"> </w:t>
      </w:r>
      <w:r>
        <w:rPr>
          <w:bCs/>
          <w:b/>
        </w:rPr>
        <w:t xml:space="preserve">Lawyer</w:t>
      </w:r>
      <w:r>
        <w:t xml:space="preserve"> </w:t>
      </w:r>
      <w:r>
        <w:t xml:space="preserve">must enhance their conflict screening procedures, improve the timeliness of client communications, and ensure punctuality in trust accounting reconciliations.</w:t>
      </w:r>
    </w:p>
    <w:p>
      <w:pPr>
        <w:pStyle w:val="BodyText"/>
      </w:pPr>
      <w:r>
        <w:t xml:space="preserve">The</w:t>
      </w:r>
      <w:r>
        <w:t xml:space="preserve"> </w:t>
      </w:r>
      <w:r>
        <w:rPr>
          <w:bCs/>
          <w:b/>
        </w:rPr>
        <w:t xml:space="preserve">Peer Review Report</w:t>
      </w:r>
      <w:r>
        <w:t xml:space="preserve"> </w:t>
      </w:r>
      <w:r>
        <w:t xml:space="preserve">serves as a constructive tool for professional growth. By addressing these areas, the</w:t>
      </w:r>
      <w:r>
        <w:t xml:space="preserve"> </w:t>
      </w:r>
      <w:r>
        <w:rPr>
          <w:bCs/>
          <w:b/>
        </w:rPr>
        <w:t xml:space="preserve">Lawyer</w:t>
      </w:r>
      <w:r>
        <w:t xml:space="preserve"> </w:t>
      </w:r>
      <w:r>
        <w:t xml:space="preserve">will not only comply with the regulations of the Law Society of Ontario but also elevate the quality of legal services provided to the citizens of</w:t>
      </w:r>
      <w:r>
        <w:t xml:space="preserve"> </w:t>
      </w:r>
      <w:r>
        <w:rPr>
          <w:bCs/>
          <w:b/>
        </w:rPr>
        <w:t xml:space="preserve">Canada Toronto</w:t>
      </w:r>
      <w:r>
        <w:t xml:space="preserve">. The review panel recommends a follow-up assessment in twelve months to verify that these recommendations have been implemented effectively.</w:t>
      </w:r>
    </w:p>
    <w:p>
      <w:pPr>
        <w:pStyle w:val="BodyText"/>
      </w:pPr>
      <w:r>
        <w:rPr>
          <w:bCs/>
          <w:b/>
        </w:rPr>
        <w:t xml:space="preserve">Prepared by:</w:t>
      </w:r>
      <w:r>
        <w:br/>
      </w:r>
      <w:r>
        <w:t xml:space="preserve">Senior Peer Review Committee</w:t>
      </w:r>
      <w:r>
        <w:br/>
      </w:r>
      <w:r>
        <w:t xml:space="preserve">Law Society of Ontario</w:t>
      </w:r>
    </w:p>
    <w:p>
      <w:pPr>
        <w:pStyle w:val="BodyText"/>
      </w:pPr>
      <w:r>
        <w:rPr>
          <w:iCs/>
          <w:i/>
        </w:rPr>
        <w:t xml:space="preserve">This Peer Review Report is confidential and intended solely for the use of the reviewed Lawyer and the regulatory body.</w:t>
      </w:r>
    </w:p>
    <w:bookmarkEnd w:id="25"/>
    <w:bookmarkEnd w:id="26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Peer Review Report: Legal Practice Standards in Canada Toronto</dc:title>
  <dc:creator/>
  <dc:language>en</dc:language>
  <cp:keywords/>
  <dcterms:created xsi:type="dcterms:W3CDTF">2026-10-10T05:53:23Z</dcterms:created>
  <dcterms:modified xsi:type="dcterms:W3CDTF">2026-10-10T05:53:23Z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