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 Lawyer</w:t>
      </w:r>
    </w:p>
    <w:p>
      <w:pPr>
        <w:pStyle w:val="BodyText"/>
      </w:pPr>
      <w:r>
        <w:rPr>
          <w:bCs/>
          <w:b/>
        </w:rPr>
        <w:t xml:space="preserve">Jurisdiction:</w:t>
      </w:r>
      <w:r>
        <w:t xml:space="preserve"> </w:t>
      </w:r>
      <w:r>
        <w:t xml:space="preserve">Canada Vancouver, British Columbia</w:t>
      </w:r>
    </w:p>
    <w:p>
      <w:pPr>
        <w:pStyle w:val="BodyText"/>
      </w:pPr>
      <w:r>
        <w:rPr>
          <w:bCs/>
          <w:b/>
        </w:rPr>
        <w:t xml:space="preserve">Governing Body:</w:t>
      </w:r>
      <w:r>
        <w:t xml:space="preserve"> </w:t>
      </w:r>
      <w:r>
        <w:t xml:space="preserve">Law Society of British Columbia (LSBC)</w:t>
      </w:r>
    </w:p>
    <w:p>
      <w:pPr>
        <w:pStyle w:val="BodyText"/>
      </w:pPr>
      <w:r>
        <w:rPr>
          <w:bCs/>
          <w:b/>
        </w:rPr>
        <w:t xml:space="preserve">Date of Review:</w:t>
      </w:r>
      <w:r>
        <w:t xml:space="preserve"> </w:t>
      </w:r>
      <w:r>
        <w:t xml:space="preserve">October 24, 2023</w:t>
      </w:r>
    </w:p>
    <w:p>
      <w:pPr>
        <w:pStyle w:val="BodyText"/>
      </w:pPr>
      <w:r>
        <w:rPr>
          <w:bCs/>
          <w:b/>
        </w:rPr>
        <w:t xml:space="preserve">Reviewer ID:</w:t>
      </w:r>
      <w:r>
        <w:t xml:space="preserve"> </w:t>
      </w:r>
      <w:r>
        <w:t xml:space="preserve">PR-BC-8842</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practice, ethical adherence, and client service standards of a Lawyer operating within the legal market of Canada Vancouver. The review was initiated under the guidelines established by the Law Society of British Columbia (LSBC) to ensure that legal practitioners maintain the highest standards of competence and integrity. The scope of this assessment covers file management, conflict of interest checks, billing practices, and adherence to the Code of Professional Conduct. The findings indicate a generally high standard of practice, with specific recommendations for improvement regarding digital security protocols and client communication frequency.</w:t>
      </w:r>
    </w:p>
    <w:bookmarkEnd w:id="21"/>
    <w:bookmarkStart w:id="22" w:name="introduction-and-context"/>
    <w:p>
      <w:pPr>
        <w:pStyle w:val="Heading2"/>
      </w:pPr>
      <w:r>
        <w:t xml:space="preserve">2. Introduction and Context</w:t>
      </w:r>
    </w:p>
    <w:p>
      <w:pPr>
        <w:pStyle w:val="FirstParagraph"/>
      </w:pPr>
      <w:r>
        <w:t xml:space="preserve">The legal landscape in Canada Vancouver is characterized by a diverse population, a robust real estate market, and complex commercial regulations. A Lawyer practicing in this jurisdiction must navigate not only federal laws but also specific provincial statutes unique to British Columbia. This Peer Review Report aims to assess whether the subject Lawyer is meeting the rigorous demands of this environment. The review process involved a random selection of twenty (20) active and closed files, interviews with three (3) client representatives, and a comprehensive audit of the firm's internal compliance procedures.</w:t>
      </w:r>
    </w:p>
    <w:p>
      <w:pPr>
        <w:pStyle w:val="BodyText"/>
      </w:pPr>
      <w:r>
        <w:t xml:space="preserve">The primary objective is to protect the public interest by ensuring that the Lawyer provides services that are competent, diligent, and ethical. This report serves as a formal record of the evaluation and provides actionable feedback to enhance the quality of legal services delivered in the Vancouver region.</w:t>
      </w:r>
    </w:p>
    <w:bookmarkEnd w:id="22"/>
    <w:bookmarkStart w:id="25" w:name="assessment-of-professional-competence"/>
    <w:p>
      <w:pPr>
        <w:pStyle w:val="Heading2"/>
      </w:pPr>
      <w:r>
        <w:t xml:space="preserve">3. Assessment of Professional Competence</w:t>
      </w:r>
    </w:p>
    <w:bookmarkStart w:id="23" w:name="knowledge-of-law-and-procedure"/>
    <w:p>
      <w:pPr>
        <w:pStyle w:val="Heading3"/>
      </w:pPr>
      <w:r>
        <w:t xml:space="preserve">3.1 Knowledge of Law and Procedure</w:t>
      </w:r>
    </w:p>
    <w:p>
      <w:pPr>
        <w:pStyle w:val="FirstParagraph"/>
      </w:pPr>
      <w:r>
        <w:t xml:space="preserve">The Lawyer demonstrated a strong command of relevant legal principles applicable in Canada Vancouver. In the reviewed files, particularly those involving residential real estate transactions and family law matters, the application of the</w:t>
      </w:r>
      <w:r>
        <w:t xml:space="preserve"> </w:t>
      </w:r>
      <w:r>
        <w:rPr>
          <w:iCs/>
          <w:i/>
        </w:rPr>
        <w:t xml:space="preserve">Family Law Act</w:t>
      </w:r>
      <w:r>
        <w:t xml:space="preserve"> </w:t>
      </w:r>
      <w:r>
        <w:t xml:space="preserve">and the</w:t>
      </w:r>
      <w:r>
        <w:t xml:space="preserve"> </w:t>
      </w:r>
      <w:r>
        <w:rPr>
          <w:iCs/>
          <w:i/>
        </w:rPr>
        <w:t xml:space="preserve">Land Title Act</w:t>
      </w:r>
      <w:r>
        <w:t xml:space="preserve"> </w:t>
      </w:r>
      <w:r>
        <w:t xml:space="preserve">was accurate and up-to-date. The Lawyer showed an ability to anticipate procedural hurdles specific to the Supreme Court of British Columbia and the Provincial Court.</w:t>
      </w:r>
    </w:p>
    <w:bookmarkEnd w:id="23"/>
    <w:bookmarkStart w:id="24" w:name="diligence-and-timeliness"/>
    <w:p>
      <w:pPr>
        <w:pStyle w:val="Heading3"/>
      </w:pPr>
      <w:r>
        <w:t xml:space="preserve">3.2 Diligence and Timeliness</w:t>
      </w:r>
    </w:p>
    <w:p>
      <w:pPr>
        <w:pStyle w:val="FirstParagraph"/>
      </w:pPr>
      <w:r>
        <w:t xml:space="preserve">Timeliness is a critical component of legal practice in a fast-paced city like Vancouver. The review found that the Lawyer generally met court deadlines and responded to opposing counsel within reasonable timeframes. However, in two instances, there were minor delays in filing documents due to administrative oversights. While these did not prejudice the clients' positions, they highlight an area where improved case management systems could benefit the practice.</w:t>
      </w:r>
    </w:p>
    <w:bookmarkEnd w:id="24"/>
    <w:bookmarkEnd w:id="25"/>
    <w:bookmarkStart w:id="28" w:name="X6791cc610dabdca2d7729e72f17608ce3805386"/>
    <w:p>
      <w:pPr>
        <w:pStyle w:val="Heading2"/>
      </w:pPr>
      <w:r>
        <w:t xml:space="preserve">4. Ethical Compliance and Professional Conduct</w:t>
      </w:r>
    </w:p>
    <w:bookmarkStart w:id="26" w:name="conflict-of-interest"/>
    <w:p>
      <w:pPr>
        <w:pStyle w:val="Heading3"/>
      </w:pPr>
      <w:r>
        <w:t xml:space="preserve">4.1 Conflict of Interest</w:t>
      </w:r>
    </w:p>
    <w:p>
      <w:pPr>
        <w:pStyle w:val="FirstParagraph"/>
      </w:pPr>
      <w:r>
        <w:t xml:space="preserve">Adherence to conflict of interest rules is paramount. The Lawyer's office maintains a robust conflict search system that is updated prior to accepting new mandates. The Peer Review Report confirms that all screened files were free from actual or potential conflicts of interest, in strict compliance with Chapter 3 of the LSBC Code of Professional Conduct.</w:t>
      </w:r>
    </w:p>
    <w:bookmarkEnd w:id="26"/>
    <w:bookmarkStart w:id="27" w:name="confidentiality-and-privacy"/>
    <w:p>
      <w:pPr>
        <w:pStyle w:val="Heading3"/>
      </w:pPr>
      <w:r>
        <w:t xml:space="preserve">4.2 Confidentiality and Privacy</w:t>
      </w:r>
    </w:p>
    <w:p>
      <w:pPr>
        <w:pStyle w:val="FirstParagraph"/>
      </w:pPr>
      <w:r>
        <w:t xml:space="preserve">The Lawyer was found to be diligent in protecting client confidentiality. Physical files are stored in locked cabinets, and digital files are password-protected. However, the review noted that the use of encrypted communication channels for sensitive client data could be more consistently applied, especially given the increasing cyber threats facing legal firms in Canada Vancouver.</w:t>
      </w:r>
    </w:p>
    <w:bookmarkEnd w:id="27"/>
    <w:bookmarkEnd w:id="28"/>
    <w:bookmarkStart w:id="29" w:name="X2a4c573e8896466eb1f9234de1058744f43885b"/>
    <w:p>
      <w:pPr>
        <w:pStyle w:val="Heading2"/>
      </w:pPr>
      <w:r>
        <w:t xml:space="preserve">5. Financial Management and Billing Practices</w:t>
      </w:r>
    </w:p>
    <w:p>
      <w:pPr>
        <w:pStyle w:val="FirstParagraph"/>
      </w:pPr>
      <w:r>
        <w:t xml:space="preserve">Financial integrity is a cornerstone of the legal profession. The Lawyer maintains separate trust accounts and general accounts in accordance with the</w:t>
      </w:r>
      <w:r>
        <w:t xml:space="preserve"> </w:t>
      </w:r>
      <w:r>
        <w:rPr>
          <w:iCs/>
          <w:i/>
        </w:rPr>
        <w:t xml:space="preserve">Trust Account Rules</w:t>
      </w:r>
      <w:r>
        <w:t xml:space="preserve"> </w:t>
      </w:r>
      <w:r>
        <w:t xml:space="preserve">of the Law Society of British Columbia. The audit of the trust account ledger revealed no discrepancies, and all interest on lawyer trust accounts (IOLTA) was remitted correctly.</w:t>
      </w:r>
    </w:p>
    <w:p>
      <w:pPr>
        <w:pStyle w:val="BodyText"/>
      </w:pPr>
      <w:r>
        <w:t xml:space="preserve">Billing statements reviewed were detailed and transparent, clearly outlining the work performed and the time spent. This level of transparency is essential for maintaining trust with clients in the competitive legal market of Vancouver. The Lawyer also provided clear fee agreements at the outset of the retainer, ensuring that clients were fully informed of potential costs.</w:t>
      </w:r>
    </w:p>
    <w:bookmarkEnd w:id="29"/>
    <w:bookmarkStart w:id="30" w:name="client-communication-and-service"/>
    <w:p>
      <w:pPr>
        <w:pStyle w:val="Heading2"/>
      </w:pPr>
      <w:r>
        <w:t xml:space="preserve">6. Client Communication and Service</w:t>
      </w:r>
    </w:p>
    <w:p>
      <w:pPr>
        <w:pStyle w:val="FirstParagraph"/>
      </w:pPr>
      <w:r>
        <w:t xml:space="preserve">Effective communication is vital for a successful lawyer-client relationship. Feedback from client interviews indicated that the Lawyer is approachable, empathetic, and capable of explaining complex legal concepts in plain language. Clients appreciated the Lawyer's responsiveness, particularly during critical stages of their cases.</w:t>
      </w:r>
    </w:p>
    <w:p>
      <w:pPr>
        <w:pStyle w:val="BodyText"/>
      </w:pPr>
      <w:r>
        <w:t xml:space="preserve">However, the Peer Review Report suggests that the Lawyer could improve by implementing a more structured system for regular client updates, even when there are no significant developments. This proactive approach would further enhance client satisfaction and reduce anxiety, which is particularly important in high-stakes legal matters common in Canada Vancouver.</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 to the Lawyer:</w:t>
      </w:r>
    </w:p>
    <w:p>
      <w:pPr>
        <w:numPr>
          <w:ilvl w:val="0"/>
          <w:numId w:val="1001"/>
        </w:numPr>
        <w:pStyle w:val="Compact"/>
      </w:pPr>
      <w:r>
        <w:rPr>
          <w:bCs/>
          <w:b/>
        </w:rPr>
        <w:t xml:space="preserve">Enhance Digital Security:</w:t>
      </w:r>
      <w:r>
        <w:t xml:space="preserve"> </w:t>
      </w:r>
      <w:r>
        <w:t xml:space="preserve">Implement mandatory end-to-end encryption for all email communications involving sensitive client data.</w:t>
      </w:r>
    </w:p>
    <w:p>
      <w:pPr>
        <w:numPr>
          <w:ilvl w:val="0"/>
          <w:numId w:val="1001"/>
        </w:numPr>
        <w:pStyle w:val="Compact"/>
      </w:pPr>
      <w:r>
        <w:rPr>
          <w:bCs/>
          <w:b/>
        </w:rPr>
        <w:t xml:space="preserve">Improve Case Management:</w:t>
      </w:r>
      <w:r>
        <w:t xml:space="preserve"> </w:t>
      </w:r>
      <w:r>
        <w:t xml:space="preserve">Adopt a more rigorous internal tracking system to prevent minor filing delays and ensure all deadlines are met with a buffer period.</w:t>
      </w:r>
    </w:p>
    <w:p>
      <w:pPr>
        <w:numPr>
          <w:ilvl w:val="0"/>
          <w:numId w:val="1001"/>
        </w:numPr>
        <w:pStyle w:val="Compact"/>
      </w:pPr>
      <w:r>
        <w:rPr>
          <w:bCs/>
          <w:b/>
        </w:rPr>
        <w:t xml:space="preserve">Structured Client Updates:</w:t>
      </w:r>
      <w:r>
        <w:t xml:space="preserve"> </w:t>
      </w:r>
      <w:r>
        <w:t xml:space="preserve">Establish a protocol for sending monthly status reports to clients, regardless of case activity, to maintain open lines of communication.</w:t>
      </w:r>
    </w:p>
    <w:p>
      <w:pPr>
        <w:numPr>
          <w:ilvl w:val="0"/>
          <w:numId w:val="1001"/>
        </w:numPr>
        <w:pStyle w:val="Compact"/>
      </w:pPr>
      <w:r>
        <w:rPr>
          <w:bCs/>
          <w:b/>
        </w:rPr>
        <w:t xml:space="preserve">Continuing Professional Development:</w:t>
      </w:r>
      <w:r>
        <w:t xml:space="preserve"> </w:t>
      </w:r>
      <w:r>
        <w:t xml:space="preserve">Continue to engage in CPD courses specific to emerging legal trends in British Columbia, such as technology law and indigenous legal perspectives.</w:t>
      </w:r>
    </w:p>
    <w:bookmarkEnd w:id="31"/>
    <w:bookmarkStart w:id="32" w:name="conclusion"/>
    <w:p>
      <w:pPr>
        <w:pStyle w:val="Heading2"/>
      </w:pPr>
      <w:r>
        <w:t xml:space="preserve">8. Conclusion</w:t>
      </w:r>
    </w:p>
    <w:p>
      <w:pPr>
        <w:pStyle w:val="FirstParagraph"/>
      </w:pPr>
      <w:r>
        <w:t xml:space="preserve">In conclusion, this Peer Review Report affirms that the Lawyer is practicing in a competent, ethical, and professional manner consistent with the standards expected by the Law Society of British Columbia. The Lawyer demonstrates a strong commitment to serving the legal needs of the community in Canada Vancouver. By implementing the recommended improvements, particularly in the areas of digital security and client communication, the Lawyer will further elevate the quality of their practice and continue to uphold the reputation of the legal profession in the region.</w:t>
      </w:r>
    </w:p>
    <w:bookmarkEnd w:id="32"/>
    <w:p>
      <w:pPr>
        <w:pStyle w:val="BodyText"/>
      </w:pPr>
      <w:r>
        <w:rPr>
          <w:bCs/>
          <w:b/>
        </w:rPr>
        <w:t xml:space="preserve">Disclaimer:</w:t>
      </w:r>
      <w:r>
        <w:t xml:space="preserve"> </w:t>
      </w:r>
      <w:r>
        <w:t xml:space="preserve">This Peer Review Report is confidential and intended solely for the use of the subject Lawyer and the Law Society of British Columbia. Unauthorized distribution is prohibited.</w:t>
      </w:r>
    </w:p>
    <w:p>
      <w:pPr>
        <w:pStyle w:val="BodyText"/>
      </w:pPr>
      <w:r>
        <w:t xml:space="preserve">© 2023 Law Society of British Columbia Peer Review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Canada Vancouver</dc:title>
  <dc:creator/>
  <dc:language>en</dc:language>
  <cp:keywords/>
  <dcterms:created xsi:type="dcterms:W3CDTF">2026-10-10T04:14:46Z</dcterms:created>
  <dcterms:modified xsi:type="dcterms:W3CDTF">2026-10-10T04:14:46Z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