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28" w:name="X5b2a6012f0bc95ea29d70817731be65f0fdfa08"/>
    <w:p>
      <w:pPr>
        <w:pStyle w:val="Heading1"/>
      </w:pPr>
      <w:r>
        <w:t xml:space="preserve">Peer Review Report: Legal Professional Services</w:t>
      </w:r>
    </w:p>
    <w:p>
      <w:pPr>
        <w:pStyle w:val="FirstParagraph"/>
      </w:pPr>
      <w:r>
        <w:rPr>
          <w:bCs/>
          <w:b/>
        </w:rPr>
        <w:t xml:space="preserve">Subject:</w:t>
      </w:r>
      <w:r>
        <w:t xml:space="preserve"> </w:t>
      </w:r>
      <w:r>
        <w:t xml:space="preserve">Evaluation of Legal Counsel Competency and Practice Standards</w:t>
      </w:r>
    </w:p>
    <w:p>
      <w:pPr>
        <w:pStyle w:val="BodyText"/>
      </w:pPr>
      <w:r>
        <w:rPr>
          <w:bCs/>
          <w:b/>
        </w:rPr>
        <w:t xml:space="preserve">Location:</w:t>
      </w:r>
      <w:r>
        <w:t xml:space="preserve"> </w:t>
      </w:r>
      <w:r>
        <w:t xml:space="preserve">Medellín, Antioquia, Colombia</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Legal Ethics and Practice Committee</w:t>
      </w:r>
    </w:p>
    <w:p>
      <w:pPr>
        <w:pStyle w:val="BodyText"/>
      </w:pPr>
      <w:r>
        <w:rPr>
          <w:bCs/>
          <w:b/>
        </w:rPr>
        <w:t xml:space="preserve">Scope:</w:t>
      </w:r>
      <w:r>
        <w:t xml:space="preserve"> </w:t>
      </w:r>
      <w:r>
        <w:t xml:space="preserve">Civil, Commercial, and Administrative Law Compliance</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operational efficacy, and ethical compliance of a legal practitioner operating within the jurisdiction of Medellín, Colombia. The objective of this assessment is to provide a comprehensive analysis of the Lawyer's ability to navigate the complex legal landscape of the Republic of Colombia while serving clients in one of the country's most dynamic economic hubs.</w:t>
      </w:r>
    </w:p>
    <w:p>
      <w:pPr>
        <w:pStyle w:val="BodyText"/>
      </w:pPr>
      <w:r>
        <w:t xml:space="preserve">The review focuses on the intersection of local legal customs in Antioquia and national statutory requirements. Given the rapid economic growth of Medellín, the demand for high-caliber legal representation in corporate structuring, real estate, and intellectual property has surged. This report assesses whether the subject Lawyer meets the rigorous standards expected by international and domestic stakeholders in this specific geographic region.</w:t>
      </w:r>
    </w:p>
    <w:bookmarkEnd w:id="20"/>
    <w:bookmarkStart w:id="21" w:name="Xcb26c74e177bdc0f4b27b35e2c067e94c086dc0"/>
    <w:p>
      <w:pPr>
        <w:pStyle w:val="Heading2"/>
      </w:pPr>
      <w:r>
        <w:t xml:space="preserve">2. Jurisdictional Context and Regulatory Compliance</w:t>
      </w:r>
    </w:p>
    <w:p>
      <w:pPr>
        <w:pStyle w:val="FirstParagraph"/>
      </w:pPr>
      <w:r>
        <w:t xml:space="preserve">Practicing law in Colombia requires strict adherence to the regulations set forth by the Superior Council of the Judiciary (Consejo Superior de la Judicatura) and the local Bar Association (Colegio de Abogados). In Medellín, the local Bar Association is particularly active in enforcing ethical standards.</w:t>
      </w:r>
    </w:p>
    <w:p>
      <w:pPr>
        <w:pStyle w:val="BodyText"/>
      </w:pPr>
      <w:r>
        <w:t xml:space="preserve">The review confirms that the Lawyer maintains an active license to practice and is in good standing with the Colegio de Abogados de Medellín. Furthermore, the practitioner demonstrates a thorough understanding of the Colombian Civil Code, Commercial Code, and the specific procedural laws governing the judicial circuits in Antioquia. The ability to navigate the local court systems in Medellín, which can be distinct in their administrative pace and procedural nuances compared to Bogotá, is a critical competency. The subject has demonstrated proficiency in filing motions and managing litigation within the local tribunals, ensuring that procedural deadlines are met with precision.</w:t>
      </w:r>
    </w:p>
    <w:bookmarkEnd w:id="21"/>
    <w:bookmarkStart w:id="24" w:name="technical-competence-and-legal-expertise"/>
    <w:p>
      <w:pPr>
        <w:pStyle w:val="Heading2"/>
      </w:pPr>
      <w:r>
        <w:t xml:space="preserve">3. Technical Competence and Legal Expertise</w:t>
      </w:r>
    </w:p>
    <w:bookmarkStart w:id="22" w:name="corporate-and-commercial-law"/>
    <w:p>
      <w:pPr>
        <w:pStyle w:val="Heading3"/>
      </w:pPr>
      <w:r>
        <w:t xml:space="preserve">3.1 Corporate and Commercial Law</w:t>
      </w:r>
    </w:p>
    <w:p>
      <w:pPr>
        <w:pStyle w:val="FirstParagraph"/>
      </w:pPr>
      <w:r>
        <w:t xml:space="preserve">Medellín has established itself as a technology and manufacturing hub in Latin America. Consequently, a Lawyer operating in this city must possess robust expertise in corporate law. The review highlights the subject's capability in drafting and negotiating commercial contracts, establishing limited liability companies (S.A.S.), and managing mergers and acquisitions. The legal opinions provided by the Lawyer regarding foreign investment regulations in Colombia were found to be accurate, up-to-date, and aligned with current tax laws administered by the DIAN (National Tax and Customs Directorate).</w:t>
      </w:r>
    </w:p>
    <w:bookmarkEnd w:id="22"/>
    <w:bookmarkStart w:id="23" w:name="real-estate-and-property-law"/>
    <w:p>
      <w:pPr>
        <w:pStyle w:val="Heading3"/>
      </w:pPr>
      <w:r>
        <w:t xml:space="preserve">3.2 Real Estate and Property Law</w:t>
      </w:r>
    </w:p>
    <w:p>
      <w:pPr>
        <w:pStyle w:val="FirstParagraph"/>
      </w:pPr>
      <w:r>
        <w:t xml:space="preserve">Given the real estate boom in Medellín, due diligence is paramount. The Lawyer was evaluated on their ability to conduct title searches at the local Office of Instruments Public (Oficina de Instrumentos Públicos). The review found that the subject exercises extreme caution in verifying property titles, checking for liens, and ensuring compliance with urban planning regulations specific to the Medellín metropolitan area. This diligence is essential for protecting clients from the risks associated with property disputes in Colombia.</w:t>
      </w:r>
    </w:p>
    <w:bookmarkEnd w:id="23"/>
    <w:bookmarkEnd w:id="24"/>
    <w:bookmarkStart w:id="25" w:name="professional-ethics-and-client-relations"/>
    <w:p>
      <w:pPr>
        <w:pStyle w:val="Heading2"/>
      </w:pPr>
      <w:r>
        <w:t xml:space="preserve">4. Professional Ethics and Client Relations</w:t>
      </w:r>
    </w:p>
    <w:p>
      <w:pPr>
        <w:pStyle w:val="FirstParagraph"/>
      </w:pPr>
      <w:r>
        <w:t xml:space="preserve">Ethical conduct is the cornerstone of the legal profession. This Peer Review Report places significant weight on the Lawyer's adherence to the Code of Ethics of the Colombian Bar. The subject was evaluated on confidentiality, conflict of interest management, and transparency in fee structures.</w:t>
      </w:r>
    </w:p>
    <w:p>
      <w:pPr>
        <w:pStyle w:val="BodyText"/>
      </w:pPr>
      <w:r>
        <w:t xml:space="preserve">The review indicates that the Lawyer maintains strict client confidentiality, utilizing secure communication channels appropriate for the digital age. Furthermore, the fee agreements are transparent and compliant with Colombian regulations, avoiding any ambiguity that could lead to disputes. The Lawyer's approach to client relations is characterized by professionalism and cultural sensitivity, which is vital when dealing with a diverse clientele in Medellín, including both local nationals and international expatriates.</w:t>
      </w:r>
    </w:p>
    <w:bookmarkEnd w:id="25"/>
    <w:bookmarkStart w:id="26" w:name="communication-and-language-proficiency"/>
    <w:p>
      <w:pPr>
        <w:pStyle w:val="Heading2"/>
      </w:pPr>
      <w:r>
        <w:t xml:space="preserve">5. Communication and Language Proficiency</w:t>
      </w:r>
    </w:p>
    <w:p>
      <w:pPr>
        <w:pStyle w:val="FirstParagraph"/>
      </w:pPr>
      <w:r>
        <w:t xml:space="preserve">Effective communication is critical in legal practice. The Lawyer demonstrates excellent command of the Spanish language, utilizing the precise legal terminology required in Colombian courts. Additionally, given the international nature of business in Medellín, the Lawyer's proficiency in English was assessed. The ability to draft bilingual contracts and communicate complex legal concepts to non-Spanish speaking clients is a significant asset. The review confirms that the Lawyer bridges the language gap effectively, ensuring that clients fully understand their legal rights and obligations under Colombian law.</w:t>
      </w:r>
    </w:p>
    <w:bookmarkEnd w:id="26"/>
    <w:bookmarkStart w:id="27" w:name="recommendations-and-conclusion"/>
    <w:p>
      <w:pPr>
        <w:pStyle w:val="Heading2"/>
      </w:pPr>
      <w:r>
        <w:t xml:space="preserve">6. Recommendations and Conclusion</w:t>
      </w:r>
    </w:p>
    <w:p>
      <w:pPr>
        <w:pStyle w:val="FirstParagraph"/>
      </w:pPr>
      <w:r>
        <w:t xml:space="preserve">Based on the comprehensive evaluation conducted by this committee, the Lawyer under review is deemed highly competent and ethically sound. The subject possesses the necessary technical skills to handle complex legal matters in Medellín, Colombia, and demonstrates a deep respect for the local legal framework.</w:t>
      </w:r>
    </w:p>
    <w:p>
      <w:pPr>
        <w:pStyle w:val="BodyText"/>
      </w:pPr>
      <w:r>
        <w:rPr>
          <w:bCs/>
          <w:b/>
        </w:rPr>
        <w:t xml:space="preserve">Recommendations:</w:t>
      </w:r>
    </w:p>
    <w:p>
      <w:pPr>
        <w:numPr>
          <w:ilvl w:val="0"/>
          <w:numId w:val="1001"/>
        </w:numPr>
        <w:pStyle w:val="Compact"/>
      </w:pPr>
      <w:r>
        <w:t xml:space="preserve">Continue professional development regarding recent updates in Colombian tax legislation.</w:t>
      </w:r>
    </w:p>
    <w:p>
      <w:pPr>
        <w:numPr>
          <w:ilvl w:val="0"/>
          <w:numId w:val="1001"/>
        </w:numPr>
        <w:pStyle w:val="Compact"/>
      </w:pPr>
      <w:r>
        <w:t xml:space="preserve">Maintain active participation in the Medellín Bar Association to stay abreast of local judicial trends.</w:t>
      </w:r>
    </w:p>
    <w:p>
      <w:pPr>
        <w:numPr>
          <w:ilvl w:val="0"/>
          <w:numId w:val="1001"/>
        </w:numPr>
        <w:pStyle w:val="Compact"/>
      </w:pPr>
      <w:r>
        <w:t xml:space="preserve">Expand digital security protocols to further protect sensitive client data in line with global standards.</w:t>
      </w:r>
    </w:p>
    <w:p>
      <w:pPr>
        <w:pStyle w:val="FirstParagraph"/>
      </w:pPr>
      <w:r>
        <w:t xml:space="preserve">In conclusion, this Peer Review Report certifies that the Lawyer meets the high standards required for legal practice in Medellín. The subject is well-equipped to represent clients in civil, commercial, and administrative matters, contributing positively to the rule of law in the region.</w:t>
      </w:r>
    </w:p>
    <w:p>
      <w:pPr>
        <w:pStyle w:val="BodyText"/>
      </w:pPr>
      <w:r>
        <w:t xml:space="preserve">9.5/10</w:t>
      </w:r>
    </w:p>
    <w:p>
      <w:pPr>
        <w:pStyle w:val="BodyText"/>
      </w:pPr>
      <w:r>
        <w:t xml:space="preserve">Technical Knowledge</w:t>
      </w:r>
    </w:p>
    <w:p>
      <w:pPr>
        <w:pStyle w:val="BodyText"/>
      </w:pPr>
      <w:r>
        <w:t xml:space="preserve">9.8/10</w:t>
      </w:r>
    </w:p>
    <w:p>
      <w:pPr>
        <w:pStyle w:val="BodyText"/>
      </w:pPr>
      <w:r>
        <w:t xml:space="preserve">Ethical Compliance</w:t>
      </w:r>
    </w:p>
    <w:p>
      <w:pPr>
        <w:pStyle w:val="BodyText"/>
      </w:pPr>
      <w:r>
        <w:t xml:space="preserve">9.2/10</w:t>
      </w:r>
    </w:p>
    <w:p>
      <w:pPr>
        <w:pStyle w:val="BodyText"/>
      </w:pPr>
      <w:r>
        <w:t xml:space="preserve">Client Service</w:t>
      </w:r>
    </w:p>
    <w:p>
      <w:pPr>
        <w:pStyle w:val="BodyText"/>
      </w:pPr>
      <w:r>
        <w:t xml:space="preserve">This document is a formal Peer Review Report generated for professional evaluation purposes. It reflects the standards of legal practice in Colombia as of the date of issuance.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Services in Medellín, Colombia</dc:title>
  <dc:creator/>
  <dc:language>en</dc:language>
  <cp:keywords/>
  <dcterms:created xsi:type="dcterms:W3CDTF">2026-10-10T07:24:53Z</dcterms:created>
  <dcterms:modified xsi:type="dcterms:W3CDTF">2026-10-10T07:24:53Z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