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Standards</w:t>
      </w:r>
      <w:r>
        <w:t xml:space="preserve"> </w:t>
      </w:r>
      <w:r>
        <w:t xml:space="preserve">in</w:t>
      </w:r>
      <w:r>
        <w:t xml:space="preserve"> </w:t>
      </w:r>
      <w:r>
        <w:t xml:space="preserve">Germany</w:t>
      </w:r>
      <w:r>
        <w:t xml:space="preserve"> </w:t>
      </w:r>
      <w:r>
        <w:t xml:space="preserve">Berlin</w:t>
      </w:r>
    </w:p>
    <w:bookmarkStart w:id="26" w:name="X290a046bde47b7f99d23f8e99d631e985ca3a41"/>
    <w:p>
      <w:pPr>
        <w:pStyle w:val="Heading1"/>
      </w:pPr>
      <w:r>
        <w:t xml:space="preserve">Peer Review Report: Professional Competence and Practice Standards</w:t>
      </w:r>
    </w:p>
    <w:p>
      <w:pPr>
        <w:pStyle w:val="FirstParagraph"/>
      </w:pPr>
      <w:r>
        <w:rPr>
          <w:bCs/>
          <w:b/>
        </w:rPr>
        <w:t xml:space="preserve">Subject:</w:t>
      </w:r>
      <w:r>
        <w:t xml:space="preserve"> </w:t>
      </w:r>
      <w:r>
        <w:t xml:space="preserve">Evaluation of Legal Practice Standards</w:t>
      </w:r>
      <w:r>
        <w:br/>
      </w:r>
      <w:r>
        <w:rPr>
          <w:bCs/>
          <w:b/>
        </w:rPr>
        <w:t xml:space="preserve">Role:</w:t>
      </w:r>
      <w:r>
        <w:t xml:space="preserve"> </w:t>
      </w:r>
      <w:r>
        <w:t xml:space="preserve">Lawyer</w:t>
      </w:r>
      <w:r>
        <w:br/>
      </w:r>
      <w:r>
        <w:rPr>
          <w:bCs/>
          <w:b/>
        </w:rPr>
        <w:t xml:space="preserve">Location:</w:t>
      </w:r>
      <w:r>
        <w:t xml:space="preserve"> </w:t>
      </w:r>
      <w:r>
        <w:t xml:space="preserve">Germany Berlin</w:t>
      </w:r>
    </w:p>
    <w:p>
      <w:pPr>
        <w:pStyle w:val="BodyText"/>
      </w:pPr>
      <w:r>
        <w:rPr>
          <w:bCs/>
          <w:b/>
        </w:rPr>
        <w:t xml:space="preserve">Date:</w:t>
      </w:r>
      <w:r>
        <w:t xml:space="preserve"> </w:t>
      </w:r>
      <w:r>
        <w:t xml:space="preserve">October 26, 2023</w:t>
      </w:r>
      <w:r>
        <w:br/>
      </w:r>
      <w:r>
        <w:rPr>
          <w:bCs/>
          <w:b/>
        </w:rPr>
        <w:t xml:space="preserve">Review Type:</w:t>
      </w:r>
      <w:r>
        <w:t xml:space="preserve"> </w:t>
      </w:r>
      <w:r>
        <w:t xml:space="preserve">Comprehensive Peer Assessment</w:t>
      </w:r>
      <w:r>
        <w:br/>
      </w:r>
      <w:r>
        <w:rPr>
          <w:bCs/>
          <w:b/>
        </w:rPr>
        <w:t xml:space="preserve">Reference:</w:t>
      </w:r>
      <w:r>
        <w:t xml:space="preserve"> </w:t>
      </w:r>
      <w:r>
        <w:t xml:space="preserve">BRAO / BORA Compliance</w:t>
      </w:r>
    </w:p>
    <w:p>
      <w:pPr>
        <w:pStyle w:val="BodyText"/>
      </w:pPr>
      <w:r>
        <w:t xml:space="preserve">This document serves as a formal</w:t>
      </w:r>
      <w:r>
        <w:t xml:space="preserve"> </w:t>
      </w:r>
      <w:r>
        <w:rPr>
          <w:bCs/>
          <w:b/>
        </w:rPr>
        <w:t xml:space="preserve">Peer Review Report</w:t>
      </w:r>
      <w:r>
        <w:t xml:space="preserve"> </w:t>
      </w:r>
      <w:r>
        <w:t xml:space="preserve">designed to evaluate the professional conduct, technical competence, and ethical adherence of a</w:t>
      </w:r>
      <w:r>
        <w:t xml:space="preserve"> </w:t>
      </w:r>
      <w:r>
        <w:rPr>
          <w:bCs/>
          <w:b/>
        </w:rPr>
        <w:t xml:space="preserve">Lawyer</w:t>
      </w:r>
      <w:r>
        <w:t xml:space="preserve"> </w:t>
      </w:r>
      <w:r>
        <w:t xml:space="preserve">operating within the jurisdiction of</w:t>
      </w:r>
      <w:r>
        <w:t xml:space="preserve"> </w:t>
      </w:r>
      <w:r>
        <w:rPr>
          <w:bCs/>
          <w:b/>
        </w:rPr>
        <w:t xml:space="preserve">Germany Berlin</w:t>
      </w:r>
      <w:r>
        <w:t xml:space="preserve">. The legal landscape in Berlin is distinct due to its status as the capital of the Federal Republic of Germany, hosting federal ministries, international organizations, and a dense concentration of commercial entities. Consequently, the standards applied in this review reflect the rigorous expectations of the Berlin-Brandenburg Regional Bar Association (Rechtsanwaltskammer Berlin-Brandenburg) and the Federal Lawyers' Act (Bundesrechtsanwaltsordnung - BRAO).</w:t>
      </w:r>
    </w:p>
    <w:bookmarkStart w:id="20" w:name="introduction-and-scope-of-review"/>
    <w:p>
      <w:pPr>
        <w:pStyle w:val="Heading2"/>
      </w:pPr>
      <w:r>
        <w:t xml:space="preserve">1. Introduction and Scope of Review</w:t>
      </w:r>
    </w:p>
    <w:p>
      <w:pPr>
        <w:pStyle w:val="FirstParagraph"/>
      </w:pPr>
      <w:r>
        <w:t xml:space="preserve">The primary objective of this</w:t>
      </w:r>
      <w:r>
        <w:t xml:space="preserve"> </w:t>
      </w:r>
      <w:r>
        <w:rPr>
          <w:bCs/>
          <w:b/>
        </w:rPr>
        <w:t xml:space="preserve">Peer Review Report</w:t>
      </w:r>
      <w:r>
        <w:t xml:space="preserve"> </w:t>
      </w:r>
      <w:r>
        <w:t xml:space="preserve">is to ensure that the</w:t>
      </w:r>
      <w:r>
        <w:t xml:space="preserve"> </w:t>
      </w:r>
      <w:r>
        <w:rPr>
          <w:bCs/>
          <w:b/>
        </w:rPr>
        <w:t xml:space="preserve">Lawyer</w:t>
      </w:r>
      <w:r>
        <w:t xml:space="preserve"> </w:t>
      </w:r>
      <w:r>
        <w:t xml:space="preserve">under assessment maintains the highest standards of legal practice required in</w:t>
      </w:r>
      <w:r>
        <w:t xml:space="preserve"> </w:t>
      </w:r>
      <w:r>
        <w:rPr>
          <w:bCs/>
          <w:b/>
        </w:rPr>
        <w:t xml:space="preserve">Germany Berlin</w:t>
      </w:r>
      <w:r>
        <w:t xml:space="preserve">. This review is not merely a procedural formality but a critical mechanism for quality assurance within the legal profession. It examines the attorney's ability to navigate the complex interplay of German civil law, administrative law, and the specific regulatory environment of Berlin.</w:t>
      </w:r>
    </w:p>
    <w:p>
      <w:pPr>
        <w:pStyle w:val="BodyText"/>
      </w:pPr>
      <w:r>
        <w:t xml:space="preserve">The scope of this assessment covers several key dimensions: substantive legal knowledge, procedural efficiency, client communication, ethical compliance, and the management of professional responsibilities. Given the multicultural and multilingual nature of Berlin, the review also considers the</w:t>
      </w:r>
      <w:r>
        <w:t xml:space="preserve"> </w:t>
      </w:r>
      <w:r>
        <w:rPr>
          <w:bCs/>
          <w:b/>
        </w:rPr>
        <w:t xml:space="preserve">Lawyer</w:t>
      </w:r>
      <w:r>
        <w:t xml:space="preserve">'s capacity to serve a diverse clientele while adhering to strict German legal protocols.</w:t>
      </w:r>
    </w:p>
    <w:bookmarkEnd w:id="20"/>
    <w:bookmarkStart w:id="21" w:name="Xddc71ba2aa429fb43770c4b6d621678b3334d2b"/>
    <w:p>
      <w:pPr>
        <w:pStyle w:val="Heading2"/>
      </w:pPr>
      <w:r>
        <w:t xml:space="preserve">2. Professional Competence and Legal Expertise</w:t>
      </w:r>
    </w:p>
    <w:p>
      <w:pPr>
        <w:pStyle w:val="FirstParagraph"/>
      </w:pPr>
      <w:r>
        <w:t xml:space="preserve">A fundamental requirement for any</w:t>
      </w:r>
      <w:r>
        <w:t xml:space="preserve"> </w:t>
      </w:r>
      <w:r>
        <w:rPr>
          <w:bCs/>
          <w:b/>
        </w:rPr>
        <w:t xml:space="preserve">Lawyer</w:t>
      </w:r>
      <w:r>
        <w:t xml:space="preserve"> </w:t>
      </w:r>
      <w:r>
        <w:t xml:space="preserve">in</w:t>
      </w:r>
      <w:r>
        <w:t xml:space="preserve"> </w:t>
      </w:r>
      <w:r>
        <w:rPr>
          <w:bCs/>
          <w:b/>
        </w:rPr>
        <w:t xml:space="preserve">Germany Berlin</w:t>
      </w:r>
      <w:r>
        <w:t xml:space="preserve"> </w:t>
      </w:r>
      <w:r>
        <w:t xml:space="preserve">is a profound understanding of the applicable legal frameworks. This</w:t>
      </w:r>
      <w:r>
        <w:t xml:space="preserve"> </w:t>
      </w:r>
      <w:r>
        <w:rPr>
          <w:bCs/>
          <w:b/>
        </w:rPr>
        <w:t xml:space="preserve">Peer Review Report</w:t>
      </w:r>
      <w:r>
        <w:t xml:space="preserve"> </w:t>
      </w:r>
      <w:r>
        <w:t xml:space="preserve">assesses whether the attorney demonstrates up-to-date knowledge of the German Civil Code (BGB), the Code of Civil Procedure (ZPO), and relevant Berlin-specific regulations.</w:t>
      </w:r>
    </w:p>
    <w:p>
      <w:pPr>
        <w:pStyle w:val="BodyText"/>
      </w:pPr>
      <w:r>
        <w:t xml:space="preserve">In the context of Berlin, legal practitioners often deal with high-stakes litigation involving federal agencies, real estate disputes in a volatile market, and corporate law matters related to startups and tech companies. The review confirms that the</w:t>
      </w:r>
      <w:r>
        <w:t xml:space="preserve"> </w:t>
      </w:r>
      <w:r>
        <w:rPr>
          <w:bCs/>
          <w:b/>
        </w:rPr>
        <w:t xml:space="preserve">Lawyer</w:t>
      </w:r>
      <w:r>
        <w:t xml:space="preserve"> </w:t>
      </w:r>
      <w:r>
        <w:t xml:space="preserve">must exhibit:</w:t>
      </w:r>
    </w:p>
    <w:p>
      <w:pPr>
        <w:numPr>
          <w:ilvl w:val="0"/>
          <w:numId w:val="1001"/>
        </w:numPr>
        <w:pStyle w:val="Compact"/>
      </w:pPr>
      <w:r>
        <w:rPr>
          <w:bCs/>
          <w:b/>
        </w:rPr>
        <w:t xml:space="preserve">Substantive Mastery:</w:t>
      </w:r>
      <w:r>
        <w:t xml:space="preserve"> </w:t>
      </w:r>
      <w:r>
        <w:t xml:space="preserve">The ability to interpret complex statutes and case law accurately.</w:t>
      </w:r>
    </w:p>
    <w:p>
      <w:pPr>
        <w:numPr>
          <w:ilvl w:val="0"/>
          <w:numId w:val="1001"/>
        </w:numPr>
        <w:pStyle w:val="Compact"/>
      </w:pPr>
      <w:r>
        <w:rPr>
          <w:bCs/>
          <w:b/>
        </w:rPr>
        <w:t xml:space="preserve">Procedural Proficiency:</w:t>
      </w:r>
      <w:r>
        <w:t xml:space="preserve"> </w:t>
      </w:r>
      <w:r>
        <w:t xml:space="preserve">Adherence to strict filing deadlines and court protocols specific to the Berlin Local Court (Amtsgericht) and Regional Court (Landgericht).</w:t>
      </w:r>
    </w:p>
    <w:p>
      <w:pPr>
        <w:numPr>
          <w:ilvl w:val="0"/>
          <w:numId w:val="1001"/>
        </w:numPr>
        <w:pStyle w:val="Compact"/>
      </w:pPr>
      <w:r>
        <w:rPr>
          <w:bCs/>
          <w:b/>
        </w:rPr>
        <w:t xml:space="preserve">Specialization:</w:t>
      </w:r>
      <w:r>
        <w:t xml:space="preserve"> </w:t>
      </w:r>
      <w:r>
        <w:t xml:space="preserve">Evidence of continued professional development (Fortbildung) in specialized areas relevant to the Berlin market.</w:t>
      </w:r>
    </w:p>
    <w:p>
      <w:pPr>
        <w:pStyle w:val="FirstParagraph"/>
      </w:pPr>
      <w:r>
        <w:t xml:space="preserve">The</w:t>
      </w:r>
      <w:r>
        <w:t xml:space="preserve"> </w:t>
      </w:r>
      <w:r>
        <w:rPr>
          <w:bCs/>
          <w:b/>
        </w:rPr>
        <w:t xml:space="preserve">Peer Review Report</w:t>
      </w:r>
      <w:r>
        <w:t xml:space="preserve"> </w:t>
      </w:r>
      <w:r>
        <w:t xml:space="preserve">highlights that a lack of diligence in these areas can lead to malpractice claims and disciplinary action by the Bar Association. Therefore, the</w:t>
      </w:r>
      <w:r>
        <w:t xml:space="preserve"> </w:t>
      </w:r>
      <w:r>
        <w:rPr>
          <w:bCs/>
          <w:b/>
        </w:rPr>
        <w:t xml:space="preserve">Lawyer</w:t>
      </w:r>
      <w:r>
        <w:t xml:space="preserve"> </w:t>
      </w:r>
      <w:r>
        <w:t xml:space="preserve">is expected to maintain a rigorous standard of legal research and analysis.</w:t>
      </w:r>
    </w:p>
    <w:bookmarkEnd w:id="21"/>
    <w:bookmarkStart w:id="22" w:name="X4ce211acb8b02978b825403f312638d11fa1afd"/>
    <w:p>
      <w:pPr>
        <w:pStyle w:val="Heading2"/>
      </w:pPr>
      <w:r>
        <w:t xml:space="preserve">3. Ethical Standards and Professional Conduct</w:t>
      </w:r>
    </w:p>
    <w:p>
      <w:pPr>
        <w:pStyle w:val="FirstParagraph"/>
      </w:pPr>
      <w:r>
        <w:t xml:space="preserve">Ethical integrity is the cornerstone of the legal profession in Germany. This</w:t>
      </w:r>
      <w:r>
        <w:t xml:space="preserve"> </w:t>
      </w:r>
      <w:r>
        <w:rPr>
          <w:bCs/>
          <w:b/>
        </w:rPr>
        <w:t xml:space="preserve">Peer Review Report</w:t>
      </w:r>
      <w:r>
        <w:t xml:space="preserve"> </w:t>
      </w:r>
      <w:r>
        <w:t xml:space="preserve">places significant emphasis on the</w:t>
      </w:r>
      <w:r>
        <w:t xml:space="preserve"> </w:t>
      </w:r>
      <w:r>
        <w:rPr>
          <w:bCs/>
          <w:b/>
        </w:rPr>
        <w:t xml:space="preserve">Lawyer</w:t>
      </w:r>
      <w:r>
        <w:t xml:space="preserve">'s adherence to the Code of Professional Conduct for Lawyers (Berufsordnung für Rechtsanwälte - BORA). In</w:t>
      </w:r>
      <w:r>
        <w:t xml:space="preserve"> </w:t>
      </w:r>
      <w:r>
        <w:rPr>
          <w:bCs/>
          <w:b/>
        </w:rPr>
        <w:t xml:space="preserve">Germany Berlin</w:t>
      </w:r>
      <w:r>
        <w:t xml:space="preserve">, where the legal community is tightly knit, reputation is paramount.</w:t>
      </w:r>
    </w:p>
    <w:p>
      <w:pPr>
        <w:pStyle w:val="BodyText"/>
      </w:pPr>
      <w:r>
        <w:t xml:space="preserve">The review evaluates the following ethical pillars:</w:t>
      </w:r>
    </w:p>
    <w:p>
      <w:pPr>
        <w:numPr>
          <w:ilvl w:val="0"/>
          <w:numId w:val="1002"/>
        </w:numPr>
        <w:pStyle w:val="Compact"/>
      </w:pPr>
      <w:r>
        <w:rPr>
          <w:bCs/>
          <w:b/>
        </w:rPr>
        <w:t xml:space="preserve">Confidentiality:</w:t>
      </w:r>
      <w:r>
        <w:t xml:space="preserve"> </w:t>
      </w:r>
      <w:r>
        <w:t xml:space="preserve">Strict protection of client data in accordance with the General Data Protection Regulation (GDPR) and professional secrecy obligations.</w:t>
      </w:r>
    </w:p>
    <w:p>
      <w:pPr>
        <w:numPr>
          <w:ilvl w:val="0"/>
          <w:numId w:val="1002"/>
        </w:numPr>
        <w:pStyle w:val="Compact"/>
      </w:pPr>
      <w:r>
        <w:rPr>
          <w:bCs/>
          <w:b/>
        </w:rPr>
        <w:t xml:space="preserve">Conflict of Interest:</w:t>
      </w:r>
      <w:r>
        <w:t xml:space="preserve"> </w:t>
      </w:r>
      <w:r>
        <w:t xml:space="preserve">Diligent screening to ensure no conflicts exist between current and former clients, a critical consideration in Berlin's competitive business environment.</w:t>
      </w:r>
    </w:p>
    <w:p>
      <w:pPr>
        <w:numPr>
          <w:ilvl w:val="0"/>
          <w:numId w:val="1002"/>
        </w:numPr>
        <w:pStyle w:val="Compact"/>
      </w:pPr>
      <w:r>
        <w:rPr>
          <w:bCs/>
          <w:b/>
        </w:rPr>
        <w:t xml:space="preserve">Independence:</w:t>
      </w:r>
      <w:r>
        <w:t xml:space="preserve"> </w:t>
      </w:r>
      <w:r>
        <w:t xml:space="preserve">The</w:t>
      </w:r>
      <w:r>
        <w:t xml:space="preserve"> </w:t>
      </w:r>
      <w:r>
        <w:rPr>
          <w:bCs/>
          <w:b/>
        </w:rPr>
        <w:t xml:space="preserve">Lawyer</w:t>
      </w:r>
      <w:r>
        <w:t xml:space="preserve"> </w:t>
      </w:r>
      <w:r>
        <w:t xml:space="preserve">must act independently, free from external influence, ensuring that advice is given solely in the best interest of the client.</w:t>
      </w:r>
    </w:p>
    <w:p>
      <w:pPr>
        <w:pStyle w:val="FirstParagraph"/>
      </w:pPr>
      <w:r>
        <w:t xml:space="preserve">Any deviation from these standards is treated with utmost seriousness. The</w:t>
      </w:r>
      <w:r>
        <w:t xml:space="preserve"> </w:t>
      </w:r>
      <w:r>
        <w:rPr>
          <w:bCs/>
          <w:b/>
        </w:rPr>
        <w:t xml:space="preserve">Peer Review Report</w:t>
      </w:r>
      <w:r>
        <w:t xml:space="preserve"> </w:t>
      </w:r>
      <w:r>
        <w:t xml:space="preserve">serves as a safeguard to ensure that the</w:t>
      </w:r>
      <w:r>
        <w:t xml:space="preserve"> </w:t>
      </w:r>
      <w:r>
        <w:rPr>
          <w:bCs/>
          <w:b/>
        </w:rPr>
        <w:t xml:space="preserve">Lawyer</w:t>
      </w:r>
      <w:r>
        <w:t xml:space="preserve"> </w:t>
      </w:r>
      <w:r>
        <w:t xml:space="preserve">upholds the dignity of the profession and maintains public trust in the judicial system of</w:t>
      </w:r>
      <w:r>
        <w:t xml:space="preserve"> </w:t>
      </w:r>
      <w:r>
        <w:rPr>
          <w:bCs/>
          <w:b/>
        </w:rPr>
        <w:t xml:space="preserve">Germany Berlin</w:t>
      </w:r>
      <w:r>
        <w:t xml:space="preserve">.</w:t>
      </w:r>
    </w:p>
    <w:bookmarkEnd w:id="22"/>
    <w:bookmarkStart w:id="23" w:name="client-relations-and-communication"/>
    <w:p>
      <w:pPr>
        <w:pStyle w:val="Heading2"/>
      </w:pPr>
      <w:r>
        <w:t xml:space="preserve">4. Client Relations and Communication</w:t>
      </w:r>
    </w:p>
    <w:p>
      <w:pPr>
        <w:pStyle w:val="FirstParagraph"/>
      </w:pPr>
      <w:r>
        <w:t xml:space="preserve">Effective communication is essential for a</w:t>
      </w:r>
      <w:r>
        <w:t xml:space="preserve"> </w:t>
      </w:r>
      <w:r>
        <w:rPr>
          <w:bCs/>
          <w:b/>
        </w:rPr>
        <w:t xml:space="preserve">Lawyer</w:t>
      </w:r>
      <w:r>
        <w:t xml:space="preserve"> </w:t>
      </w:r>
      <w:r>
        <w:t xml:space="preserve">practicing in</w:t>
      </w:r>
      <w:r>
        <w:t xml:space="preserve"> </w:t>
      </w:r>
      <w:r>
        <w:rPr>
          <w:bCs/>
          <w:b/>
        </w:rPr>
        <w:t xml:space="preserve">Germany Berlin</w:t>
      </w:r>
      <w:r>
        <w:t xml:space="preserve">. This</w:t>
      </w:r>
      <w:r>
        <w:t xml:space="preserve"> </w:t>
      </w:r>
      <w:r>
        <w:rPr>
          <w:bCs/>
          <w:b/>
        </w:rPr>
        <w:t xml:space="preserve">Peer Review Report</w:t>
      </w:r>
      <w:r>
        <w:t xml:space="preserve"> </w:t>
      </w:r>
      <w:r>
        <w:t xml:space="preserve">assesses the attorney's ability to convey complex legal concepts clearly and promptly to clients. Given Berlin's international character, the review also considers the</w:t>
      </w:r>
      <w:r>
        <w:t xml:space="preserve"> </w:t>
      </w:r>
      <w:r>
        <w:rPr>
          <w:bCs/>
          <w:b/>
        </w:rPr>
        <w:t xml:space="preserve">Lawyer</w:t>
      </w:r>
      <w:r>
        <w:t xml:space="preserve">'s language skills and cultural sensitivity.</w:t>
      </w:r>
    </w:p>
    <w:p>
      <w:pPr>
        <w:pStyle w:val="BodyText"/>
      </w:pPr>
      <w:r>
        <w:t xml:space="preserve">The assessment criteria include:</w:t>
      </w:r>
    </w:p>
    <w:p>
      <w:pPr>
        <w:numPr>
          <w:ilvl w:val="0"/>
          <w:numId w:val="1003"/>
        </w:numPr>
        <w:pStyle w:val="Compact"/>
      </w:pPr>
      <w:r>
        <w:rPr>
          <w:bCs/>
          <w:b/>
        </w:rPr>
        <w:t xml:space="preserve">Responsiveness:</w:t>
      </w:r>
      <w:r>
        <w:t xml:space="preserve"> </w:t>
      </w:r>
      <w:r>
        <w:t xml:space="preserve">Timely acknowledgment of client inquiries and updates on case progress.</w:t>
      </w:r>
    </w:p>
    <w:p>
      <w:pPr>
        <w:numPr>
          <w:ilvl w:val="0"/>
          <w:numId w:val="1003"/>
        </w:numPr>
        <w:pStyle w:val="Compact"/>
      </w:pPr>
      <w:r>
        <w:rPr>
          <w:bCs/>
          <w:b/>
        </w:rPr>
        <w:t xml:space="preserve">Clarity:</w:t>
      </w:r>
      <w:r>
        <w:t xml:space="preserve"> </w:t>
      </w:r>
      <w:r>
        <w:t xml:space="preserve">Providing clear, understandable advice without unnecessary legal jargon.</w:t>
      </w:r>
    </w:p>
    <w:p>
      <w:pPr>
        <w:numPr>
          <w:ilvl w:val="0"/>
          <w:numId w:val="1003"/>
        </w:numPr>
        <w:pStyle w:val="Compact"/>
      </w:pPr>
      <w:r>
        <w:rPr>
          <w:bCs/>
          <w:b/>
        </w:rPr>
        <w:t xml:space="preserve">Transparency:</w:t>
      </w:r>
      <w:r>
        <w:t xml:space="preserve"> </w:t>
      </w:r>
      <w:r>
        <w:t xml:space="preserve">Clear communication regarding fees, costs, and potential risks associated with legal proceedings.</w:t>
      </w:r>
    </w:p>
    <w:p>
      <w:pPr>
        <w:pStyle w:val="FirstParagraph"/>
      </w:pPr>
      <w:r>
        <w:t xml:space="preserve">A</w:t>
      </w:r>
      <w:r>
        <w:t xml:space="preserve"> </w:t>
      </w:r>
      <w:r>
        <w:rPr>
          <w:bCs/>
          <w:b/>
        </w:rPr>
        <w:t xml:space="preserve">Lawyer</w:t>
      </w:r>
      <w:r>
        <w:t xml:space="preserve"> </w:t>
      </w:r>
      <w:r>
        <w:t xml:space="preserve">who fails to maintain open lines of communication risks damaging client relationships and facing complaints to the Bar Association. This</w:t>
      </w:r>
      <w:r>
        <w:t xml:space="preserve"> </w:t>
      </w:r>
      <w:r>
        <w:rPr>
          <w:bCs/>
          <w:b/>
        </w:rPr>
        <w:t xml:space="preserve">Peer Review Report</w:t>
      </w:r>
      <w:r>
        <w:t xml:space="preserve"> </w:t>
      </w:r>
      <w:r>
        <w:t xml:space="preserve">emphasizes that client satisfaction is directly linked to the quality of communication and the perceived professionalism of the attorney.</w:t>
      </w:r>
    </w:p>
    <w:bookmarkEnd w:id="23"/>
    <w:bookmarkStart w:id="24" w:name="X85825d9db1154cf851adb51a7bc5d7e438e2fa4"/>
    <w:p>
      <w:pPr>
        <w:pStyle w:val="Heading2"/>
      </w:pPr>
      <w:r>
        <w:t xml:space="preserve">5. Practice Management and Administrative Efficiency</w:t>
      </w:r>
    </w:p>
    <w:p>
      <w:pPr>
        <w:pStyle w:val="FirstParagraph"/>
      </w:pPr>
      <w:r>
        <w:t xml:space="preserve">The operational efficiency of a law practice is a critical component of professional competence. This</w:t>
      </w:r>
      <w:r>
        <w:t xml:space="preserve"> </w:t>
      </w:r>
      <w:r>
        <w:rPr>
          <w:bCs/>
          <w:b/>
        </w:rPr>
        <w:t xml:space="preserve">Peer Review Report</w:t>
      </w:r>
      <w:r>
        <w:t xml:space="preserve"> </w:t>
      </w:r>
      <w:r>
        <w:t xml:space="preserve">examines the</w:t>
      </w:r>
      <w:r>
        <w:t xml:space="preserve"> </w:t>
      </w:r>
      <w:r>
        <w:rPr>
          <w:bCs/>
          <w:b/>
        </w:rPr>
        <w:t xml:space="preserve">Lawyer</w:t>
      </w:r>
      <w:r>
        <w:t xml:space="preserve">'s ability to manage cases effectively, maintain accurate records, and comply with administrative requirements in</w:t>
      </w:r>
      <w:r>
        <w:t xml:space="preserve"> </w:t>
      </w:r>
      <w:r>
        <w:rPr>
          <w:bCs/>
          <w:b/>
        </w:rPr>
        <w:t xml:space="preserve">Germany Berlin</w:t>
      </w:r>
      <w:r>
        <w:t xml:space="preserve">.</w:t>
      </w:r>
    </w:p>
    <w:p>
      <w:pPr>
        <w:pStyle w:val="BodyText"/>
      </w:pPr>
      <w:r>
        <w:t xml:space="preserve">Key areas of focus include:</w:t>
      </w:r>
    </w:p>
    <w:p>
      <w:pPr>
        <w:numPr>
          <w:ilvl w:val="0"/>
          <w:numId w:val="1004"/>
        </w:numPr>
        <w:pStyle w:val="Compact"/>
      </w:pPr>
      <w:r>
        <w:rPr>
          <w:bCs/>
          <w:b/>
        </w:rPr>
        <w:t xml:space="preserve">Case Management:</w:t>
      </w:r>
      <w:r>
        <w:t xml:space="preserve"> </w:t>
      </w:r>
      <w:r>
        <w:t xml:space="preserve">Use of modern tools to track deadlines, document versions, and case milestones.</w:t>
      </w:r>
    </w:p>
    <w:p>
      <w:pPr>
        <w:numPr>
          <w:ilvl w:val="0"/>
          <w:numId w:val="1004"/>
        </w:numPr>
        <w:pStyle w:val="Compact"/>
      </w:pPr>
      <w:r>
        <w:rPr>
          <w:bCs/>
          <w:b/>
        </w:rPr>
        <w:t xml:space="preserve">Financial Management:</w:t>
      </w:r>
      <w:r>
        <w:t xml:space="preserve"> </w:t>
      </w:r>
      <w:r>
        <w:t xml:space="preserve">Proper handling of client funds (Treuhandschaftsgeld) and transparent billing practices in accordance with the German Lawyers' Remuneration Act (RVG).</w:t>
      </w:r>
    </w:p>
    <w:p>
      <w:pPr>
        <w:numPr>
          <w:ilvl w:val="0"/>
          <w:numId w:val="1004"/>
        </w:numPr>
        <w:pStyle w:val="Compact"/>
      </w:pPr>
      <w:r>
        <w:rPr>
          <w:bCs/>
          <w:b/>
        </w:rPr>
        <w:t xml:space="preserve">Data Security:</w:t>
      </w:r>
      <w:r>
        <w:t xml:space="preserve"> </w:t>
      </w:r>
      <w:r>
        <w:t xml:space="preserve">Implementation of robust cybersecurity measures to protect sensitive client information.</w:t>
      </w:r>
    </w:p>
    <w:p>
      <w:pPr>
        <w:pStyle w:val="FirstParagraph"/>
      </w:pPr>
      <w:r>
        <w:t xml:space="preserve">In the fast-paced environment of Berlin, administrative errors can have severe consequences. The</w:t>
      </w:r>
      <w:r>
        <w:t xml:space="preserve"> </w:t>
      </w:r>
      <w:r>
        <w:rPr>
          <w:bCs/>
          <w:b/>
        </w:rPr>
        <w:t xml:space="preserve">Peer Review Report</w:t>
      </w:r>
      <w:r>
        <w:t xml:space="preserve"> </w:t>
      </w:r>
      <w:r>
        <w:t xml:space="preserve">underscores the importance of a well-organized practice as a reflection of the</w:t>
      </w:r>
      <w:r>
        <w:t xml:space="preserve"> </w:t>
      </w:r>
      <w:r>
        <w:rPr>
          <w:bCs/>
          <w:b/>
        </w:rPr>
        <w:t xml:space="preserve">Lawyer</w:t>
      </w:r>
      <w:r>
        <w:t xml:space="preserve">'s overall professionalism and reliability.</w:t>
      </w:r>
    </w:p>
    <w:bookmarkEnd w:id="24"/>
    <w:bookmarkStart w:id="25" w:name="conclusion-and-recommendations"/>
    <w:p>
      <w:pPr>
        <w:pStyle w:val="Heading2"/>
      </w:pPr>
      <w:r>
        <w:t xml:space="preserve">6. Conclusion and Recommendations</w:t>
      </w:r>
    </w:p>
    <w:p>
      <w:pPr>
        <w:pStyle w:val="FirstParagraph"/>
      </w:pPr>
      <w:r>
        <w:t xml:space="preserve">This</w:t>
      </w:r>
      <w:r>
        <w:t xml:space="preserve"> </w:t>
      </w:r>
      <w:r>
        <w:rPr>
          <w:bCs/>
          <w:b/>
        </w:rPr>
        <w:t xml:space="preserve">Peer Review Report</w:t>
      </w:r>
      <w:r>
        <w:t xml:space="preserve"> </w:t>
      </w:r>
      <w:r>
        <w:t xml:space="preserve">provides a comprehensive evaluation of the</w:t>
      </w:r>
      <w:r>
        <w:t xml:space="preserve"> </w:t>
      </w:r>
      <w:r>
        <w:rPr>
          <w:bCs/>
          <w:b/>
        </w:rPr>
        <w:t xml:space="preserve">Lawyer</w:t>
      </w:r>
      <w:r>
        <w:t xml:space="preserve">'s practice in</w:t>
      </w:r>
      <w:r>
        <w:t xml:space="preserve"> </w:t>
      </w:r>
      <w:r>
        <w:rPr>
          <w:bCs/>
          <w:b/>
        </w:rPr>
        <w:t xml:space="preserve">Germany Berlin</w:t>
      </w:r>
      <w:r>
        <w:t xml:space="preserve">. The findings indicate that maintaining high standards of legal expertise, ethical conduct, client communication, and practice management is essential for success and compliance in this jurisdiction.</w:t>
      </w:r>
    </w:p>
    <w:p>
      <w:pPr>
        <w:pStyle w:val="BodyText"/>
      </w:pPr>
      <w:r>
        <w:t xml:space="preserve">Based on the assessment, the following recommendations are made:</w:t>
      </w:r>
    </w:p>
    <w:p>
      <w:pPr>
        <w:numPr>
          <w:ilvl w:val="0"/>
          <w:numId w:val="1005"/>
        </w:numPr>
        <w:pStyle w:val="Compact"/>
      </w:pPr>
      <w:r>
        <w:t xml:space="preserve">Continue regular participation in professional development programs to stay current with legal changes.</w:t>
      </w:r>
    </w:p>
    <w:p>
      <w:pPr>
        <w:numPr>
          <w:ilvl w:val="0"/>
          <w:numId w:val="1005"/>
        </w:numPr>
        <w:pStyle w:val="Compact"/>
      </w:pPr>
      <w:r>
        <w:t xml:space="preserve">Enhance client communication protocols to ensure timely and clear updates.</w:t>
      </w:r>
    </w:p>
    <w:p>
      <w:pPr>
        <w:numPr>
          <w:ilvl w:val="0"/>
          <w:numId w:val="1005"/>
        </w:numPr>
        <w:pStyle w:val="Compact"/>
      </w:pPr>
      <w:r>
        <w:t xml:space="preserve">Regularly review and update internal compliance procedures to align with the latest BORA and GDPR requirements.</w:t>
      </w:r>
    </w:p>
    <w:p>
      <w:pPr>
        <w:pStyle w:val="FirstParagraph"/>
      </w:pPr>
      <w:r>
        <w:t xml:space="preserve">By adhering to these recommendations, the</w:t>
      </w:r>
      <w:r>
        <w:t xml:space="preserve"> </w:t>
      </w:r>
      <w:r>
        <w:rPr>
          <w:bCs/>
          <w:b/>
        </w:rPr>
        <w:t xml:space="preserve">Lawyer</w:t>
      </w:r>
      <w:r>
        <w:t xml:space="preserve"> </w:t>
      </w:r>
      <w:r>
        <w:t xml:space="preserve">can ensure continued excellence in their practice and uphold the esteemed reputation of the legal profession in</w:t>
      </w:r>
      <w:r>
        <w:t xml:space="preserve"> </w:t>
      </w:r>
      <w:r>
        <w:rPr>
          <w:bCs/>
          <w:b/>
        </w:rPr>
        <w:t xml:space="preserve">Germany Berlin</w:t>
      </w:r>
      <w:r>
        <w:t xml:space="preserve">.</w:t>
      </w:r>
    </w:p>
    <w:p>
      <w:pPr>
        <w:pStyle w:val="BodyText"/>
      </w:pPr>
      <w:r>
        <w:rPr>
          <w:bCs/>
          <w:b/>
        </w:rPr>
        <w:t xml:space="preserve">Prepared by:</w:t>
      </w:r>
      <w:r>
        <w:t xml:space="preserve"> </w:t>
      </w:r>
      <w:r>
        <w:t xml:space="preserve">[Name of Reviewing Peer]</w:t>
      </w:r>
    </w:p>
    <w:p>
      <w:pPr>
        <w:pStyle w:val="BodyText"/>
      </w:pPr>
      <w:r>
        <w:rPr>
          <w:bCs/>
          <w:b/>
        </w:rPr>
        <w:t xml:space="preserve">Title:</w:t>
      </w:r>
      <w:r>
        <w:t xml:space="preserve"> </w:t>
      </w:r>
      <w:r>
        <w:t xml:space="preserve">Senior Legal Consultant / Peer Reviewer</w:t>
      </w:r>
    </w:p>
    <w:p>
      <w:pPr>
        <w:pStyle w:val="BodyText"/>
      </w:pPr>
      <w:r>
        <w:rPr>
          <w:bCs/>
          <w:b/>
        </w:rPr>
        <w:t xml:space="preserve">Affiliation:</w:t>
      </w:r>
      <w:r>
        <w:t xml:space="preserve"> </w:t>
      </w:r>
      <w:r>
        <w:t xml:space="preserve">Berlin-Brandenburg Regional Bar Association</w:t>
      </w:r>
    </w:p>
    <w:p>
      <w:pPr>
        <w:pStyle w:val="BodyText"/>
      </w:pP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Standards in Germany Berlin</dc:title>
  <dc:creator/>
  <dc:language>en</dc:language>
  <cp:keywords/>
  <dcterms:created xsi:type="dcterms:W3CDTF">2026-10-10T05:51:16Z</dcterms:created>
  <dcterms:modified xsi:type="dcterms:W3CDTF">2026-10-10T05:51:16Z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