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ffa08a6e02df9f8c0d8f9aba979a6f89ad7a92e"/>
    <w:p>
      <w:pPr>
        <w:pStyle w:val="Heading1"/>
      </w:pPr>
      <w:r>
        <w:t xml:space="preserve">Peer Review Report: Professional Competence and Service Standards</w:t>
      </w:r>
    </w:p>
    <w:p>
      <w:pPr>
        <w:pStyle w:val="FirstParagraph"/>
      </w:pPr>
      <w:r>
        <w:rPr>
          <w:bCs/>
          <w:b/>
        </w:rPr>
        <w:t xml:space="preserve">Subject:</w:t>
      </w:r>
      <w:r>
        <w:t xml:space="preserve"> </w:t>
      </w:r>
      <w:r>
        <w:t xml:space="preserve">Evaluation of Legal Counsel</w:t>
      </w:r>
      <w:r>
        <w:br/>
      </w:r>
      <w:r>
        <w:rPr>
          <w:bCs/>
          <w:b/>
        </w:rPr>
        <w:t xml:space="preserve">Location:</w:t>
      </w:r>
      <w:r>
        <w:t xml:space="preserve"> </w:t>
      </w:r>
      <w:r>
        <w:t xml:space="preserve">Germany Munich</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Independent Peer Assessment</w:t>
      </w:r>
      <w:r>
        <w:br/>
      </w:r>
      <w:r>
        <w:rPr>
          <w:bCs/>
          <w:b/>
        </w:rPr>
        <w:t xml:space="preserve">Reference ID:</w:t>
      </w:r>
      <w:r>
        <w:t xml:space="preserve"> </w:t>
      </w:r>
      <w:r>
        <w:t xml:space="preserve">PR-MUC-2023-884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ethical adherence, and operational efficiency of a Lawyer operating within the jurisdiction of Germany Munich. The purpose of this document is to provide an objective analysis based on established legal standards, client feedback, and case outcome metrics. The review focuses specifically on the unique challenges and requirements of practicing law in the Bavarian capital, ensuring that the subject meets the rigorous expectations of the Munich Bar Association (Rechtsanwaltskammer München).</w:t>
      </w:r>
    </w:p>
    <w:p>
      <w:pPr>
        <w:pStyle w:val="BodyText"/>
      </w:pPr>
      <w:r>
        <w:t xml:space="preserve">The assessment covers a twelve-month period, analyzing the Lawyer's performance in civil litigation, corporate advisory, and regulatory compliance. The findings indicate a high level of proficiency, particularly in navigating the complex intersection of German federal law and local Munich municipal regulations.</w:t>
      </w:r>
    </w:p>
    <w:bookmarkEnd w:id="20"/>
    <w:bookmarkStart w:id="21" w:name="jurisdictional-context-germany-munich"/>
    <w:p>
      <w:pPr>
        <w:pStyle w:val="Heading2"/>
      </w:pPr>
      <w:r>
        <w:t xml:space="preserve">2. Jurisdictional Context: Germany Munich</w:t>
      </w:r>
    </w:p>
    <w:p>
      <w:pPr>
        <w:pStyle w:val="FirstParagraph"/>
      </w:pPr>
      <w:r>
        <w:t xml:space="preserve">Practicing law in Germany Munich presents distinct challenges compared to other regions. Munich is not only the capital of Bavaria but also a global hub for technology, automotive engineering, and finance. Consequently, a Lawyer in this region must possess specialized knowledge in intellectual property, commercial law, and cross-border transactions.</w:t>
      </w:r>
    </w:p>
    <w:p>
      <w:pPr>
        <w:pStyle w:val="BodyText"/>
      </w:pPr>
      <w:r>
        <w:t xml:space="preserve">This review evaluates how effectively the subject adapts to the specific legal culture of Munich. The local courts, including the Landgericht München I and the Oberlandesgericht München, are known for their high caseloads and strict procedural adherence. The Lawyer's ability to manage these procedural demands while maintaining high-quality representation is a critical metric in this report.</w:t>
      </w:r>
    </w:p>
    <w:bookmarkEnd w:id="21"/>
    <w:bookmarkStart w:id="24" w:name="Xddc71ba2aa429fb43770c4b6d621678b3334d2b"/>
    <w:p>
      <w:pPr>
        <w:pStyle w:val="Heading2"/>
      </w:pPr>
      <w:r>
        <w:t xml:space="preserve">3. Professional Competence and Legal Expertise</w:t>
      </w:r>
    </w:p>
    <w:bookmarkStart w:id="22" w:name="knowledge-of-german-law"/>
    <w:p>
      <w:pPr>
        <w:pStyle w:val="Heading3"/>
      </w:pPr>
      <w:r>
        <w:t xml:space="preserve">3.1. Knowledge of German Law</w:t>
      </w:r>
    </w:p>
    <w:p>
      <w:pPr>
        <w:pStyle w:val="FirstParagraph"/>
      </w:pPr>
      <w:r>
        <w:t xml:space="preserve">The Lawyer demonstrates an exceptional command of the German Civil Code (BGB) and the Code of Civil Procedure (ZPO). During the review period, the subject handled multiple complex disputes involving contract law and property rights. The legal arguments presented were well-researched, citing relevant precedents from the Bundesgerichtshof (Federal Court of Justice) as well as specific rulings from Bavarian courts.</w:t>
      </w:r>
    </w:p>
    <w:p>
      <w:pPr>
        <w:pStyle w:val="BodyText"/>
      </w:pPr>
      <w:r>
        <w:t xml:space="preserve">Furthermore, the Lawyer shows a strong understanding of the specific regulatory environment in Germany Munich. This includes familiarity with local zoning laws, which are particularly stringent in Munich due to housing shortages, and labor laws relevant to the city's booming tech sector.</w:t>
      </w:r>
    </w:p>
    <w:bookmarkEnd w:id="22"/>
    <w:bookmarkStart w:id="23" w:name="case-management-and-strategy"/>
    <w:p>
      <w:pPr>
        <w:pStyle w:val="Heading3"/>
      </w:pPr>
      <w:r>
        <w:t xml:space="preserve">3.2. Case Management and Strategy</w:t>
      </w:r>
    </w:p>
    <w:p>
      <w:pPr>
        <w:pStyle w:val="FirstParagraph"/>
      </w:pPr>
      <w:r>
        <w:t xml:space="preserve">Strategic planning is a hallmark of the Lawyer's practice. In several reviewed cases, the subject successfully negotiated settlements before litigation escalated, saving clients significant time and resources. This proactive approach is highly valued in the Munich business community, where efficiency is paramount. The Lawyer's ability to assess risk accurately and advise clients on the most pragmatic course of action reflects a mature professional judgment.</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the Federal Lawyers' Act (BRAO) and the Professional Rules of Conduct for Lawyers (BORA) is non-negotiable. This Peer Review Report confirms that the Lawyer maintains the highest ethical standards. There were no complaints filed with the Munich Bar Association during the review period regarding conflicts of interest, confidentiality breaches, or fee transparency.</w:t>
      </w:r>
    </w:p>
    <w:p>
      <w:pPr>
        <w:pStyle w:val="BodyText"/>
      </w:pPr>
      <w:r>
        <w:t xml:space="preserve">The Lawyer demonstrates a strong commitment to client confidentiality, utilizing secure communication channels and data protection measures that exceed the requirements of the General Data Protection Regulation (GDPR). This is particularly important in Germany Munich, where data privacy is a significant concern for both individuals and corporations.</w:t>
      </w:r>
    </w:p>
    <w:bookmarkEnd w:id="25"/>
    <w:bookmarkStart w:id="28" w:name="client-relations-and-communication"/>
    <w:p>
      <w:pPr>
        <w:pStyle w:val="Heading2"/>
      </w:pPr>
      <w:r>
        <w:t xml:space="preserve">5. Client Relations and Communication</w:t>
      </w:r>
    </w:p>
    <w:bookmarkStart w:id="26" w:name="responsiveness-and-accessibility"/>
    <w:p>
      <w:pPr>
        <w:pStyle w:val="Heading3"/>
      </w:pPr>
      <w:r>
        <w:t xml:space="preserve">5.1. Responsiveness and Accessibility</w:t>
      </w:r>
    </w:p>
    <w:p>
      <w:pPr>
        <w:pStyle w:val="FirstParagraph"/>
      </w:pPr>
      <w:r>
        <w:t xml:space="preserve">Client feedback indicates that the Lawyer is highly responsive and accessible. In a fast-paced environment like Munich, delays in communication can be detrimental. The subject ensures that clients are kept informed of case developments in a timely manner, providing clear and concise updates.</w:t>
      </w:r>
    </w:p>
    <w:bookmarkEnd w:id="26"/>
    <w:bookmarkStart w:id="27" w:name="language-and-cultural-competence"/>
    <w:p>
      <w:pPr>
        <w:pStyle w:val="Heading3"/>
      </w:pPr>
      <w:r>
        <w:t xml:space="preserve">5.2. Language and Cultural Competence</w:t>
      </w:r>
    </w:p>
    <w:p>
      <w:pPr>
        <w:pStyle w:val="FirstParagraph"/>
      </w:pPr>
      <w:r>
        <w:t xml:space="preserve">Given the international nature of Munich, the Lawyer's ability to communicate effectively in both German and English is a significant asset. The review notes that the Lawyer successfully represents international clients, bridging cultural and legal gaps with sensitivity and professionalism. This bilingual capability enhances the Lawyer's value proposition in the globalized Munich market.</w:t>
      </w:r>
    </w:p>
    <w:bookmarkEnd w:id="27"/>
    <w:bookmarkEnd w:id="28"/>
    <w:bookmarkStart w:id="29"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enhancement:</w:t>
      </w:r>
    </w:p>
    <w:p>
      <w:pPr>
        <w:numPr>
          <w:ilvl w:val="0"/>
          <w:numId w:val="1001"/>
        </w:numPr>
        <w:pStyle w:val="Compact"/>
      </w:pPr>
      <w:r>
        <w:rPr>
          <w:bCs/>
          <w:b/>
        </w:rPr>
        <w:t xml:space="preserve">Digital Integration:</w:t>
      </w:r>
      <w:r>
        <w:t xml:space="preserve"> </w:t>
      </w:r>
      <w:r>
        <w:t xml:space="preserve">While the Lawyer uses secure communication tools, further integration of legal tech solutions for document management could improve efficiency.</w:t>
      </w:r>
    </w:p>
    <w:p>
      <w:pPr>
        <w:numPr>
          <w:ilvl w:val="0"/>
          <w:numId w:val="1001"/>
        </w:numPr>
        <w:pStyle w:val="Compact"/>
      </w:pPr>
      <w:r>
        <w:rPr>
          <w:bCs/>
          <w:b/>
        </w:rPr>
        <w:t xml:space="preserve">Pro Bono Engagement:</w:t>
      </w:r>
      <w:r>
        <w:t xml:space="preserve"> </w:t>
      </w:r>
      <w:r>
        <w:t xml:space="preserve">Increasing involvement in pro bono work within the Munich community could further strengthen the Lawyer's professional reputation and social responsibility profile.</w:t>
      </w:r>
    </w:p>
    <w:bookmarkEnd w:id="29"/>
    <w:bookmarkStart w:id="30" w:name="conclusion-and-recommendation"/>
    <w:p>
      <w:pPr>
        <w:pStyle w:val="Heading2"/>
      </w:pPr>
      <w:r>
        <w:t xml:space="preserve">7. Conclusion and Recommendation</w:t>
      </w:r>
    </w:p>
    <w:p>
      <w:pPr>
        <w:pStyle w:val="FirstParagraph"/>
      </w:pPr>
      <w:r>
        <w:t xml:space="preserve">Based on the comprehensive analysis conducted in this Peer Review Report, the Lawyer under review is deemed to be of excellent professional standing. The subject exhibits a deep understanding of the legal landscape in Germany Munich, adheres strictly to ethical guidelines, and delivers high-quality legal services.</w:t>
      </w:r>
    </w:p>
    <w:p>
      <w:pPr>
        <w:pStyle w:val="BodyText"/>
      </w:pPr>
      <w:r>
        <w:t xml:space="preserve">The Lawyer's ability to navigate the complexities of Munich's legal system, combined with strong client relations and strategic acumen, makes them a valuable asset to the legal profession. It is recommended that the Lawyer continues to maintain these high standards and considers the suggested areas for improvement to further enhance their practice.</w:t>
      </w:r>
    </w:p>
    <w:p>
      <w:pPr>
        <w:pStyle w:val="BodyText"/>
      </w:pPr>
      <w:r>
        <w:rPr>
          <w:bCs/>
          <w:b/>
        </w:rPr>
        <w:t xml:space="preserve">Final Verdict:</w:t>
      </w:r>
      <w:r>
        <w:t xml:space="preserve"> </w:t>
      </w:r>
      <w:r>
        <w:t xml:space="preserve">Highly Recommended. The Lawyer meets and exceeds the professional expectations for legal practitioners in Germany Munich.</w:t>
      </w:r>
    </w:p>
    <w:p>
      <w:pPr>
        <w:pStyle w:val="BodyText"/>
      </w:pPr>
      <w:r>
        <w:rPr>
          <w:bCs/>
          <w:b/>
        </w:rPr>
        <w:t xml:space="preserve">Prepared by:</w:t>
      </w:r>
      <w:r>
        <w:br/>
      </w:r>
      <w:r>
        <w:t xml:space="preserve">Independent Peer Review Committee</w:t>
      </w:r>
      <w:r>
        <w:br/>
      </w:r>
      <w:r>
        <w:t xml:space="preserve">Munich Legal Standards Board</w:t>
      </w:r>
      <w:r>
        <w:br/>
      </w:r>
      <w:r>
        <w:t xml:space="preserve">Munich,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Germany Munich</dc:title>
  <dc:creator/>
  <dc:language>en</dc:language>
  <cp:keywords/>
  <dcterms:created xsi:type="dcterms:W3CDTF">2026-10-10T02:43:31Z</dcterms:created>
  <dcterms:modified xsi:type="dcterms:W3CDTF">2026-10-10T02:43:31Z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