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Practitioner</w:t>
      </w:r>
      <w:r>
        <w:t xml:space="preserve"> </w:t>
      </w:r>
      <w:r>
        <w:t xml:space="preserve">Assessment</w:t>
      </w:r>
      <w:r>
        <w:t xml:space="preserve"> </w:t>
      </w:r>
      <w:r>
        <w:t xml:space="preserve">-</w:t>
      </w:r>
      <w:r>
        <w:t xml:space="preserve"> </w:t>
      </w:r>
      <w:r>
        <w:t xml:space="preserve">Mumbai,</w:t>
      </w:r>
      <w:r>
        <w:t xml:space="preserve"> </w:t>
      </w:r>
      <w:r>
        <w:t xml:space="preserve">India</w:t>
      </w:r>
    </w:p>
    <w:bookmarkStart w:id="29" w:name="X5a38df8160663ec2e9fed8f94130875d959bbf0"/>
    <w:p>
      <w:pPr>
        <w:pStyle w:val="Heading1"/>
      </w:pPr>
      <w:r>
        <w:t xml:space="preserve">Peer Review Report: Professional Competence and Ethical Standards</w:t>
      </w:r>
    </w:p>
    <w:p>
      <w:pPr>
        <w:pStyle w:val="FirstParagraph"/>
      </w:pPr>
      <w:r>
        <w:rPr>
          <w:bCs/>
          <w:b/>
        </w:rPr>
        <w:t xml:space="preserve">Subject of Review:</w:t>
      </w:r>
      <w:r>
        <w:t xml:space="preserve"> </w:t>
      </w:r>
      <w:r>
        <w:t xml:space="preserve">[Name of Lawyer], Advocate &amp; Solicitor</w:t>
      </w:r>
    </w:p>
    <w:p>
      <w:pPr>
        <w:pStyle w:val="BodyText"/>
      </w:pPr>
      <w:r>
        <w:rPr>
          <w:bCs/>
          <w:b/>
        </w:rPr>
        <w:t xml:space="preserve">Jurisdiction:</w:t>
      </w:r>
      <w:r>
        <w:t xml:space="preserve"> </w:t>
      </w:r>
      <w:r>
        <w:t xml:space="preserve">High Court of Bombay &amp; District Courts, Mumbai, India</w:t>
      </w:r>
    </w:p>
    <w:p>
      <w:pPr>
        <w:pStyle w:val="BodyText"/>
      </w:pPr>
      <w:r>
        <w:rPr>
          <w:bCs/>
          <w:b/>
        </w:rPr>
        <w:t xml:space="preserve">Reviewing Body:</w:t>
      </w:r>
      <w:r>
        <w:t xml:space="preserve"> </w:t>
      </w:r>
      <w:r>
        <w:t xml:space="preserve">Independent Legal Peer Assessment Committee</w:t>
      </w:r>
    </w:p>
    <w:p>
      <w:pPr>
        <w:pStyle w:val="BodyText"/>
      </w:pPr>
      <w:r>
        <w:rPr>
          <w:bCs/>
          <w:b/>
        </w:rPr>
        <w:t xml:space="preserve">Date of Report:</w:t>
      </w:r>
      <w:r>
        <w:t xml:space="preserve"> </w:t>
      </w:r>
      <w:r>
        <w:t xml:space="preserve">October 24, 2023</w:t>
      </w:r>
    </w:p>
    <w:p>
      <w:pPr>
        <w:pStyle w:val="BodyText"/>
      </w:pPr>
      <w:r>
        <w:rPr>
          <w:bCs/>
          <w:b/>
        </w:rPr>
        <w:t xml:space="preserve">Report Reference ID:</w:t>
      </w:r>
      <w:r>
        <w:t xml:space="preserve"> </w:t>
      </w:r>
      <w:r>
        <w:t xml:space="preserve">MUM-LPR-2023-894</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legal acumen, and ethical compliance of the subject Lawyer practicing within the bustling legal ecosystem of Mumbai, India. As the financial capital of the nation, Mumbai presents a unique and rigorous testing ground for legal professionals. The complexity of commercial litigation, the volume of criminal cases, and the intricacies of property law in this metropolitan hub demand a level of expertise that exceeds standard national benchmarks.</w:t>
      </w:r>
    </w:p>
    <w:p>
      <w:pPr>
        <w:pStyle w:val="BodyText"/>
      </w:pPr>
      <w:r>
        <w:t xml:space="preserve">The purpose of this document is to provide a transparent, objective, and comprehensive assessment of the Lawyer’s performance. This review is conducted in accordance with the standards set forth by the Bar Council of India and the specific regulations of the Bombay High Court. The findings herein are intended to serve as a benchmark for professional excellence and to offer constructive feedback for continuous improvement.</w:t>
      </w:r>
    </w:p>
    <w:bookmarkEnd w:id="20"/>
    <w:bookmarkStart w:id="21" w:name="X77516b36bf0149bd30c1e84c40ebfb4705b55a1"/>
    <w:p>
      <w:pPr>
        <w:pStyle w:val="Heading2"/>
      </w:pPr>
      <w:r>
        <w:t xml:space="preserve">2. Contextual Analysis: The Mumbai Legal Landscape</w:t>
      </w:r>
    </w:p>
    <w:p>
      <w:pPr>
        <w:pStyle w:val="FirstParagraph"/>
      </w:pPr>
      <w:r>
        <w:t xml:space="preserve">To accurately assess a Lawyer in Mumbai, one must understand the environment in which they operate. The legal infrastructure in Mumbai is characterized by high-pressure environments, particularly within the Bombay High Court and the subordinate courts in districts such as South Mumbai, Andheri, and Navi Mumbai. The sheer volume of cases often leads to procedural bottlenecks, requiring advocates to possess exceptional organizational skills and strategic foresight.</w:t>
      </w:r>
    </w:p>
    <w:p>
      <w:pPr>
        <w:pStyle w:val="BodyText"/>
      </w:pPr>
      <w:r>
        <w:t xml:space="preserve">Furthermore, the clientele in Mumbai ranges from multinational corporations to individual litigants involved in complex property disputes. A Lawyer operating successfully in this region must demonstrate versatility. This Peer Review Report specifically examines how the subject adapts to these local challenges, ensuring that their practice aligns with the dynamic needs of the Mumbai jurisdiction.</w:t>
      </w:r>
    </w:p>
    <w:bookmarkEnd w:id="21"/>
    <w:bookmarkStart w:id="24" w:name="X25cf957a046af3c4c066b278d5f8a1f976d0db8"/>
    <w:p>
      <w:pPr>
        <w:pStyle w:val="Heading2"/>
      </w:pPr>
      <w:r>
        <w:t xml:space="preserve">3. Assessment of Legal Competence and Expertise</w:t>
      </w:r>
    </w:p>
    <w:bookmarkStart w:id="22" w:name="knowledge-of-statutory-law"/>
    <w:p>
      <w:pPr>
        <w:pStyle w:val="Heading3"/>
      </w:pPr>
      <w:r>
        <w:t xml:space="preserve">3.1. Knowledge of Statutory Law</w:t>
      </w:r>
    </w:p>
    <w:p>
      <w:pPr>
        <w:pStyle w:val="FirstParagraph"/>
      </w:pPr>
      <w:r>
        <w:t xml:space="preserve">The subject Lawyer demonstrates a robust command of Indian statutory law, with a particular emphasis on the Indian Contract Act, the Code of Civil Procedure, and the Indian Penal Code. During the review of selected case files, it was evident that the Lawyer possesses an up-to-date understanding of recent amendments and landmark judgments delivered by the Supreme Court of India and the Bombay High Court.</w:t>
      </w:r>
    </w:p>
    <w:p>
      <w:pPr>
        <w:pStyle w:val="BodyText"/>
      </w:pPr>
      <w:r>
        <w:t xml:space="preserve">In the context of Mumbai’s real estate sector, the Lawyer showed significant proficiency in the Maharashtra Rent Control Act and local municipal regulations. This localized knowledge is critical for any legal practitioner in this city, as property disputes constitute a substantial portion of the litigation docket.</w:t>
      </w:r>
    </w:p>
    <w:bookmarkEnd w:id="22"/>
    <w:bookmarkStart w:id="23" w:name="X4da108aafedb2f2b4300817aa7259081cea963d"/>
    <w:p>
      <w:pPr>
        <w:pStyle w:val="Heading3"/>
      </w:pPr>
      <w:r>
        <w:t xml:space="preserve">3.2. Litigation Strategy and Courtroom Demeanor</w:t>
      </w:r>
    </w:p>
    <w:p>
      <w:pPr>
        <w:pStyle w:val="FirstParagraph"/>
      </w:pPr>
      <w:r>
        <w:t xml:space="preserve">Observations from court proceedings indicate that the Lawyer maintains a professional and respectful demeanor before the bench. In the hierarchical and tradition-bound environment of the Bombay High Court, the ability to argue persuasively while adhering to protocol is paramount. The subject exhibits strong oral advocacy skills, capable of distilling complex legal arguments into concise points that resonate with the judiciary.</w:t>
      </w:r>
    </w:p>
    <w:p>
      <w:pPr>
        <w:pStyle w:val="BodyText"/>
      </w:pPr>
      <w:r>
        <w:t xml:space="preserve">Strategic planning appears to be a strong suit. The Lawyer effectively manages case timelines, ensuring that filings are submitted well before deadlines—a crucial factor in avoiding adjournments, which are frequent in Mumbai’s courts.</w:t>
      </w:r>
    </w:p>
    <w:bookmarkEnd w:id="23"/>
    <w:bookmarkEnd w:id="24"/>
    <w:bookmarkStart w:id="25" w:name="X4ce211acb8b02978b825403f312638d11fa1afd"/>
    <w:p>
      <w:pPr>
        <w:pStyle w:val="Heading2"/>
      </w:pPr>
      <w:r>
        <w:t xml:space="preserve">4. Ethical Standards and Professional Conduct</w:t>
      </w:r>
    </w:p>
    <w:p>
      <w:pPr>
        <w:pStyle w:val="FirstParagraph"/>
      </w:pPr>
      <w:r>
        <w:t xml:space="preserve">Adherence to the Advocates Act, 1961, and the Bar Council of India Rules is non-negotiable. This Peer Review Report confirms that the Lawyer has maintained high ethical standards throughout their tenure. There were no findings of misconduct, conflicts of interest, or breaches of client confidentiality.</w:t>
      </w:r>
    </w:p>
    <w:p>
      <w:pPr>
        <w:pStyle w:val="BodyText"/>
      </w:pPr>
      <w:r>
        <w:t xml:space="preserve">The Lawyer demonstrates integrity in dealings with opposing counsel and court staff. In the competitive legal market of Mumbai, maintaining professional courtesy and ethical boundaries is essential for the reputation of the legal fraternity. The subject’s conduct reflects positively on the profession and aligns with the expectations of a senior practitioner in this jurisdiction.</w:t>
      </w:r>
    </w:p>
    <w:bookmarkEnd w:id="25"/>
    <w:bookmarkStart w:id="26" w:name="client-relations-and-communication"/>
    <w:p>
      <w:pPr>
        <w:pStyle w:val="Heading2"/>
      </w:pPr>
      <w:r>
        <w:t xml:space="preserve">5. Client Relations and Communication</w:t>
      </w:r>
    </w:p>
    <w:p>
      <w:pPr>
        <w:pStyle w:val="FirstParagraph"/>
      </w:pPr>
      <w:r>
        <w:t xml:space="preserve">Effective communication is a cornerstone of legal practice. The review indicates that the Lawyer maintains clear and consistent communication with clients. Given the diverse demographic of Mumbai, the ability to explain legal complexities in accessible language is highly valued.</w:t>
      </w:r>
    </w:p>
    <w:p>
      <w:pPr>
        <w:pStyle w:val="BodyText"/>
      </w:pPr>
      <w:r>
        <w:t xml:space="preserve">Feedback from client interactions suggests that the Lawyer is responsive and empathetic. They provide realistic assessments of case outcomes, avoiding over-promising—a common pitfall in the legal industry. This transparency fosters trust and ensures that clients are well-informed about the procedural nuances of their cases within the Mumbai court system.</w:t>
      </w:r>
    </w:p>
    <w:bookmarkEnd w:id="26"/>
    <w:bookmarkStart w:id="27" w:name="areas-for-improvement"/>
    <w:p>
      <w:pPr>
        <w:pStyle w:val="Heading2"/>
      </w:pPr>
      <w:r>
        <w:t xml:space="preserve">6. Areas for Improvement</w:t>
      </w:r>
    </w:p>
    <w:p>
      <w:pPr>
        <w:pStyle w:val="FirstParagraph"/>
      </w:pPr>
      <w:r>
        <w:t xml:space="preserve">While the overall assessment is positive, this Peer Review Report identifies areas where the Lawyer can further enhance their practice:</w:t>
      </w:r>
    </w:p>
    <w:p>
      <w:pPr>
        <w:numPr>
          <w:ilvl w:val="0"/>
          <w:numId w:val="1001"/>
        </w:numPr>
        <w:pStyle w:val="Compact"/>
      </w:pPr>
      <w:r>
        <w:rPr>
          <w:bCs/>
          <w:b/>
        </w:rPr>
        <w:t xml:space="preserve">Digital Integration:</w:t>
      </w:r>
      <w:r>
        <w:t xml:space="preserve"> </w:t>
      </w:r>
      <w:r>
        <w:t xml:space="preserve">While proficient in traditional methods, the Lawyer could benefit from adopting more advanced legal tech tools for case management, which is increasingly becoming standard among top firms in Mumbai.</w:t>
      </w:r>
    </w:p>
    <w:p>
      <w:pPr>
        <w:numPr>
          <w:ilvl w:val="0"/>
          <w:numId w:val="1001"/>
        </w:numPr>
        <w:pStyle w:val="Compact"/>
      </w:pPr>
      <w:r>
        <w:rPr>
          <w:bCs/>
          <w:b/>
        </w:rPr>
        <w:t xml:space="preserve">Specialization:</w:t>
      </w:r>
      <w:r>
        <w:t xml:space="preserve"> </w:t>
      </w:r>
      <w:r>
        <w:t xml:space="preserve">Given the breadth of practice, focusing more deeply on a niche area, such as corporate insolvency or cyber law, could elevate their standing in the competitive Mumbai market.</w:t>
      </w:r>
    </w:p>
    <w:bookmarkEnd w:id="27"/>
    <w:bookmarkStart w:id="28" w:name="conclusion-and-recommendation"/>
    <w:p>
      <w:pPr>
        <w:pStyle w:val="Heading2"/>
      </w:pPr>
      <w:r>
        <w:t xml:space="preserve">7. Conclusion and Recommendation</w:t>
      </w:r>
    </w:p>
    <w:p>
      <w:pPr>
        <w:pStyle w:val="FirstParagraph"/>
      </w:pPr>
      <w:r>
        <w:t xml:space="preserve">Based on the comprehensive evaluation of legal competence, ethical conduct, and professional behavior, this Peer Review Report concludes that the subject Lawyer is a highly competent and reliable legal professional. Their practice is well-suited to the demands of the Mumbai jurisdiction, and they contribute positively to the administration of justice in India.</w:t>
      </w:r>
    </w:p>
    <w:p>
      <w:pPr>
        <w:pStyle w:val="BodyText"/>
      </w:pPr>
      <w:r>
        <w:t xml:space="preserve">The committee recommends that the Lawyer continues their current trajectory while addressing the minor areas of improvement noted above. This report serves as a testament to their dedication to the legal profession and their commitment to serving the justice system in Mumbai, India.</w:t>
      </w:r>
    </w:p>
    <w:p>
      <w:pPr>
        <w:pStyle w:val="BodyText"/>
      </w:pPr>
      <w:r>
        <w:rPr>
          <w:bCs/>
          <w:b/>
        </w:rPr>
        <w:t xml:space="preserve">Prepared By:</w:t>
      </w:r>
    </w:p>
    <w:p>
      <w:pPr>
        <w:pStyle w:val="BodyText"/>
      </w:pPr>
      <w:r>
        <w:t xml:space="preserve">Senior Reviewing Committee Member</w:t>
      </w:r>
    </w:p>
    <w:p>
      <w:pPr>
        <w:pStyle w:val="BodyText"/>
      </w:pPr>
      <w:r>
        <w:t xml:space="preserve">Independent Legal Peer Assessment Committee</w:t>
      </w:r>
    </w:p>
    <w:p>
      <w:pPr>
        <w:pStyle w:val="BodyText"/>
      </w:pPr>
      <w:r>
        <w:rPr>
          <w:iCs/>
          <w:i/>
        </w:rPr>
        <w:t xml:space="preserve">Mumbai, Maharashtra,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Practitioner Assessment - Mumbai, India</dc:title>
  <dc:creator/>
  <dc:language>en</dc:language>
  <cp:keywords/>
  <dcterms:created xsi:type="dcterms:W3CDTF">2026-10-10T07:04:32Z</dcterms:created>
  <dcterms:modified xsi:type="dcterms:W3CDTF">2026-10-10T07:04:32Z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