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Assessment</w:t>
      </w:r>
    </w:p>
    <w:bookmarkStart w:id="27" w:name="peer-review-report"/>
    <w:p>
      <w:pPr>
        <w:pStyle w:val="Heading1"/>
      </w:pPr>
      <w:r>
        <w:t xml:space="preserve">Peer Review Report</w:t>
      </w:r>
    </w:p>
    <w:p>
      <w:pPr>
        <w:pStyle w:val="FirstParagraph"/>
      </w:pPr>
      <w:r>
        <w:t xml:space="preserve">Comprehensive Professional Assessment of Legal Competency and Practice Standards</w:t>
      </w:r>
    </w:p>
    <w:p>
      <w:pPr>
        <w:pStyle w:val="BodyText"/>
      </w:pPr>
      <w:r>
        <w:rPr>
          <w:bCs/>
          <w:b/>
        </w:rPr>
        <w:t xml:space="preserve">Subject of Review:</w:t>
      </w:r>
      <w:r>
        <w:t xml:space="preserve"> </w:t>
      </w:r>
      <w:r>
        <w:t xml:space="preserve">Senior Advocate / Legal Counsel</w:t>
      </w:r>
    </w:p>
    <w:p>
      <w:pPr>
        <w:pStyle w:val="BodyText"/>
      </w:pPr>
      <w:r>
        <w:rPr>
          <w:bCs/>
          <w:b/>
        </w:rPr>
        <w:t xml:space="preserve">Practice Location:</w:t>
      </w:r>
      <w:r>
        <w:t xml:space="preserve"> </w:t>
      </w:r>
      <w:r>
        <w:t xml:space="preserve">India New Delhi (Supreme Court Bar Association / Delhi High Court Bar Association)</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Independent Legal Ethics and Competency Board</w:t>
      </w:r>
    </w:p>
    <w:p>
      <w:pPr>
        <w:pStyle w:val="BodyText"/>
      </w:pPr>
      <w:r>
        <w:rPr>
          <w:bCs/>
          <w:b/>
        </w:rPr>
        <w:t xml:space="preserve">Reference ID:</w:t>
      </w:r>
      <w:r>
        <w:t xml:space="preserve"> </w:t>
      </w:r>
      <w:r>
        <w:t xml:space="preserve">PRR-DL-2023-8842</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ethical conduct, and technical proficiency of a practicing</w:t>
      </w:r>
      <w:r>
        <w:t xml:space="preserve"> </w:t>
      </w:r>
      <w:r>
        <w:rPr>
          <w:bCs/>
          <w:b/>
        </w:rPr>
        <w:t xml:space="preserve">Lawyer</w:t>
      </w:r>
      <w:r>
        <w:t xml:space="preserve"> </w:t>
      </w:r>
      <w:r>
        <w:t xml:space="preserve">operating within the jurisdiction of</w:t>
      </w:r>
      <w:r>
        <w:t xml:space="preserve"> </w:t>
      </w:r>
      <w:r>
        <w:rPr>
          <w:bCs/>
          <w:b/>
        </w:rPr>
        <w:t xml:space="preserve">India New Delhi</w:t>
      </w:r>
      <w:r>
        <w:t xml:space="preserve">. The legal landscape in the capital of India is characterized by high-volume litigation, complex corporate mandates, and a rigorous adherence to procedural law. Consequently, the standards for legal practitioners in this region are exceptionally high.</w:t>
      </w:r>
    </w:p>
    <w:p>
      <w:pPr>
        <w:pStyle w:val="BodyText"/>
      </w:pPr>
      <w:r>
        <w:t xml:space="preserve">The purpose of this document is to provide an objective analysis of the subject's performance based on case file audits, colleague testimonials, and client feedback. The review focuses on the Lawyer's ability to navigate the intricate legal frameworks of the Supreme Court of India and the Delhi High Court, ensuring that their practice aligns with the Advocates Act, 1961, and the Bar Council of India rules.</w:t>
      </w:r>
    </w:p>
    <w:bookmarkEnd w:id="20"/>
    <w:bookmarkStart w:id="21" w:name="X655296f04fa03f8e73f74e165adf93c41cbad49"/>
    <w:p>
      <w:pPr>
        <w:pStyle w:val="Heading2"/>
      </w:pPr>
      <w:r>
        <w:t xml:space="preserve">2. Scope of Practice and Jurisdictional Expertise</w:t>
      </w:r>
    </w:p>
    <w:p>
      <w:pPr>
        <w:pStyle w:val="FirstParagraph"/>
      </w:pPr>
      <w:r>
        <w:t xml:space="preserve">The subject</w:t>
      </w:r>
      <w:r>
        <w:t xml:space="preserve"> </w:t>
      </w:r>
      <w:r>
        <w:rPr>
          <w:bCs/>
          <w:b/>
        </w:rPr>
        <w:t xml:space="preserve">Lawyer</w:t>
      </w:r>
      <w:r>
        <w:t xml:space="preserve"> </w:t>
      </w:r>
      <w:r>
        <w:t xml:space="preserve">specializes in a multi-disciplinary approach, primarily focusing on Constitutional Law, Corporate Litigation, and Civil Appeals. Given the location in</w:t>
      </w:r>
      <w:r>
        <w:t xml:space="preserve"> </w:t>
      </w:r>
      <w:r>
        <w:rPr>
          <w:bCs/>
          <w:b/>
        </w:rPr>
        <w:t xml:space="preserve">India New Delhi</w:t>
      </w:r>
      <w:r>
        <w:t xml:space="preserve">, the practitioner is frequently engaged in matters before the Supreme Court of India and the Delhi High Court.</w:t>
      </w:r>
    </w:p>
    <w:p>
      <w:pPr>
        <w:pStyle w:val="BodyText"/>
      </w:pPr>
      <w:r>
        <w:t xml:space="preserve">The review committee assessed the Lawyer's familiarity with local procedural nuances. It was observed that the subject demonstrates a profound understanding of the Code of Civil Procedure (CPC) and the Code of Criminal Procedure (CrPC) as applied in Delhi courts. The ability to draft precise petitions and handle urgent interim relief matters—a common requirement in the fast-paced environment of New Delhi litigation—was rated as exemplary.</w:t>
      </w:r>
    </w:p>
    <w:bookmarkEnd w:id="21"/>
    <w:bookmarkStart w:id="22" w:name="assessment-of-legal-competency"/>
    <w:p>
      <w:pPr>
        <w:pStyle w:val="Heading2"/>
      </w:pPr>
      <w:r>
        <w:t xml:space="preserve">3. Assessment of Legal Competency</w:t>
      </w:r>
    </w:p>
    <w:p>
      <w:pPr>
        <w:pStyle w:val="FirstParagraph"/>
      </w:pPr>
      <w:r>
        <w:t xml:space="preserve">A core component of this</w:t>
      </w:r>
      <w:r>
        <w:t xml:space="preserve"> </w:t>
      </w:r>
      <w:r>
        <w:rPr>
          <w:bCs/>
          <w:b/>
        </w:rPr>
        <w:t xml:space="preserve">Peer Review Report</w:t>
      </w:r>
      <w:r>
        <w:t xml:space="preserve"> </w:t>
      </w:r>
      <w:r>
        <w:t xml:space="preserve">is the evaluation of substantive legal knowledge. The</w:t>
      </w:r>
      <w:r>
        <w:t xml:space="preserve"> </w:t>
      </w:r>
      <w:r>
        <w:rPr>
          <w:bCs/>
          <w:b/>
        </w:rPr>
        <w:t xml:space="preserve">Lawyer</w:t>
      </w:r>
      <w:r>
        <w:t xml:space="preserve"> </w:t>
      </w:r>
      <w:r>
        <w:t xml:space="preserve">under review has demonstrated a robust command over statutory interpretation and case law precedents.</w:t>
      </w:r>
    </w:p>
    <w:p>
      <w:pPr>
        <w:numPr>
          <w:ilvl w:val="0"/>
          <w:numId w:val="1001"/>
        </w:numPr>
        <w:pStyle w:val="Compact"/>
      </w:pPr>
      <w:r>
        <w:rPr>
          <w:bCs/>
          <w:b/>
        </w:rPr>
        <w:t xml:space="preserve">Research and Analysis:</w:t>
      </w:r>
      <w:r>
        <w:t xml:space="preserve"> </w:t>
      </w:r>
      <w:r>
        <w:t xml:space="preserve">The subject's legal research is thorough, citing relevant judgments from the Supreme Court of India and recent Delhi High Court rulings. This ensures that arguments are grounded in current jurisprudence.</w:t>
      </w:r>
    </w:p>
    <w:p>
      <w:pPr>
        <w:numPr>
          <w:ilvl w:val="0"/>
          <w:numId w:val="1001"/>
        </w:numPr>
        <w:pStyle w:val="Compact"/>
      </w:pPr>
      <w:r>
        <w:rPr>
          <w:bCs/>
          <w:b/>
        </w:rPr>
        <w:t xml:space="preserve">Oral Advocacy:</w:t>
      </w:r>
      <w:r>
        <w:t xml:space="preserve"> </w:t>
      </w:r>
      <w:r>
        <w:t xml:space="preserve">Observations from court appearances indicate that the Lawyer possesses strong oral advocacy skills. They are articulate, respectful to the bench, and capable of simplifying complex legal arguments for the judiciary.</w:t>
      </w:r>
    </w:p>
    <w:p>
      <w:pPr>
        <w:numPr>
          <w:ilvl w:val="0"/>
          <w:numId w:val="1001"/>
        </w:numPr>
        <w:pStyle w:val="Compact"/>
      </w:pPr>
      <w:r>
        <w:rPr>
          <w:bCs/>
          <w:b/>
        </w:rPr>
        <w:t xml:space="preserve">Drafting Skills:</w:t>
      </w:r>
      <w:r>
        <w:t xml:space="preserve"> </w:t>
      </w:r>
      <w:r>
        <w:t xml:space="preserve">Legal documents, including writ petitions, affidavits, and contracts, are drafted with clarity and precision, minimizing the risk of procedural objections.</w:t>
      </w:r>
    </w:p>
    <w:bookmarkEnd w:id="22"/>
    <w:bookmarkStart w:id="23" w:name="professional-ethics-and-conduct"/>
    <w:p>
      <w:pPr>
        <w:pStyle w:val="Heading2"/>
      </w:pPr>
      <w:r>
        <w:t xml:space="preserve">4. Professional Ethics and Conduct</w:t>
      </w:r>
    </w:p>
    <w:p>
      <w:pPr>
        <w:pStyle w:val="FirstParagraph"/>
      </w:pPr>
      <w:r>
        <w:t xml:space="preserve">Adherence to professional ethics is paramount for any</w:t>
      </w:r>
      <w:r>
        <w:t xml:space="preserve"> </w:t>
      </w:r>
      <w:r>
        <w:rPr>
          <w:bCs/>
          <w:b/>
        </w:rPr>
        <w:t xml:space="preserve">Lawyer</w:t>
      </w:r>
      <w:r>
        <w:t xml:space="preserve"> </w:t>
      </w:r>
      <w:r>
        <w:t xml:space="preserve">in</w:t>
      </w:r>
      <w:r>
        <w:t xml:space="preserve"> </w:t>
      </w:r>
      <w:r>
        <w:rPr>
          <w:bCs/>
          <w:b/>
        </w:rPr>
        <w:t xml:space="preserve">India New Delhi</w:t>
      </w:r>
      <w:r>
        <w:t xml:space="preserve">, where the Bar Council of India maintains strict oversight. This section of the</w:t>
      </w:r>
      <w:r>
        <w:t xml:space="preserve"> </w:t>
      </w:r>
      <w:r>
        <w:rPr>
          <w:bCs/>
          <w:b/>
        </w:rPr>
        <w:t xml:space="preserve">Peer Review Report</w:t>
      </w:r>
      <w:r>
        <w:t xml:space="preserve"> </w:t>
      </w:r>
      <w:r>
        <w:t xml:space="preserve">examines the subject's compliance with the Bar Council of India (Standards of Professional Conduct and Etiquette) Rules.</w:t>
      </w:r>
    </w:p>
    <w:p>
      <w:pPr>
        <w:pStyle w:val="BodyText"/>
      </w:pPr>
      <w:r>
        <w:t xml:space="preserve">The review found no instances of professional misconduct. The Lawyer maintains a respectful relationship with opposing counsel and court staff. Furthermore, the subject has shown diligence in maintaining client confidentiality and avoiding conflicts of interest. The transparency regarding fee structures and case progress reports was noted as a positive attribute, fostering trust with clients navigating the often opaque legal system in the capital.</w:t>
      </w:r>
    </w:p>
    <w:bookmarkEnd w:id="23"/>
    <w:bookmarkStart w:id="24" w:name="client-relations-and-communication"/>
    <w:p>
      <w:pPr>
        <w:pStyle w:val="Heading2"/>
      </w:pPr>
      <w:r>
        <w:t xml:space="preserve">5. Client Relations and Communication</w:t>
      </w:r>
    </w:p>
    <w:p>
      <w:pPr>
        <w:pStyle w:val="FirstParagraph"/>
      </w:pPr>
      <w:r>
        <w:t xml:space="preserve">Effective communication is critical in the legal profession. The</w:t>
      </w:r>
      <w:r>
        <w:t xml:space="preserve"> </w:t>
      </w:r>
      <w:r>
        <w:rPr>
          <w:bCs/>
          <w:b/>
        </w:rPr>
        <w:t xml:space="preserve">Lawyer</w:t>
      </w:r>
      <w:r>
        <w:t xml:space="preserve"> </w:t>
      </w:r>
      <w:r>
        <w:t xml:space="preserve">was evaluated on their ability to manage client expectations and provide timely updates. In the context of</w:t>
      </w:r>
      <w:r>
        <w:t xml:space="preserve"> </w:t>
      </w:r>
      <w:r>
        <w:rPr>
          <w:bCs/>
          <w:b/>
        </w:rPr>
        <w:t xml:space="preserve">India New Delhi</w:t>
      </w:r>
      <w:r>
        <w:t xml:space="preserve">, where legal proceedings can be protracted, the subject's proactive communication style is a significant asset.</w:t>
      </w:r>
    </w:p>
    <w:p>
      <w:pPr>
        <w:pStyle w:val="BodyText"/>
      </w:pPr>
      <w:r>
        <w:t xml:space="preserve">Feedback indicates that the Lawyer is accessible and responsive. They provide clear explanations of legal risks and potential outcomes, ensuring that clients are well-informed before making critical decisions. This approach aligns with the best practices expected of senior legal practitioners in the region.</w:t>
      </w:r>
    </w:p>
    <w:bookmarkEnd w:id="24"/>
    <w:bookmarkStart w:id="25"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minor areas for development to ensure continued excellence:</w:t>
      </w:r>
    </w:p>
    <w:p>
      <w:pPr>
        <w:numPr>
          <w:ilvl w:val="0"/>
          <w:numId w:val="1002"/>
        </w:numPr>
        <w:pStyle w:val="Compact"/>
      </w:pPr>
      <w:r>
        <w:rPr>
          <w:bCs/>
          <w:b/>
        </w:rPr>
        <w:t xml:space="preserve">Technological Integration:</w:t>
      </w:r>
      <w:r>
        <w:t xml:space="preserve"> </w:t>
      </w:r>
      <w:r>
        <w:t xml:space="preserve">The Lawyer is encouraged to further integrate legal tech tools for case management and document automation, which is becoming increasingly standard in top-tier firms in New Delhi.</w:t>
      </w:r>
    </w:p>
    <w:p>
      <w:pPr>
        <w:numPr>
          <w:ilvl w:val="0"/>
          <w:numId w:val="1002"/>
        </w:numPr>
        <w:pStyle w:val="Compact"/>
      </w:pPr>
      <w:r>
        <w:rPr>
          <w:bCs/>
          <w:b/>
        </w:rPr>
        <w:t xml:space="preserve">Pro Bono Engagement:</w:t>
      </w:r>
      <w:r>
        <w:t xml:space="preserve"> </w:t>
      </w:r>
      <w:r>
        <w:t xml:space="preserve">Increasing participation in pro bono initiatives would further enhance the Lawyer's contribution to the legal community and access to justice in the region.</w:t>
      </w:r>
    </w:p>
    <w:bookmarkEnd w:id="25"/>
    <w:bookmarkStart w:id="26"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Lawyer</w:t>
      </w:r>
      <w:r>
        <w:t xml:space="preserve"> </w:t>
      </w:r>
      <w:r>
        <w:t xml:space="preserve">is deemed to be a highly competent and ethical legal professional. Their practice in</w:t>
      </w:r>
      <w:r>
        <w:t xml:space="preserve"> </w:t>
      </w:r>
      <w:r>
        <w:rPr>
          <w:bCs/>
          <w:b/>
        </w:rPr>
        <w:t xml:space="preserve">India New Delhi</w:t>
      </w:r>
      <w:r>
        <w:t xml:space="preserve"> </w:t>
      </w:r>
      <w:r>
        <w:t xml:space="preserve">reflects a deep commitment to the rule of law and the highest standards of advocacy.</w:t>
      </w:r>
    </w:p>
    <w:p>
      <w:pPr>
        <w:pStyle w:val="BodyText"/>
      </w:pPr>
      <w:r>
        <w:t xml:space="preserve">The review committee recommends that the Lawyer be recognized as a reliable and skilled practitioner suitable for handling complex litigation and high-stakes corporate matters. The subject is encouraged to continue their professional development and maintain the rigorous standards outlined in this report.</w:t>
      </w:r>
    </w:p>
    <w:p>
      <w:pPr>
        <w:pStyle w:val="BodyText"/>
      </w:pPr>
      <w:r>
        <w:rPr>
          <w:bCs/>
          <w:b/>
        </w:rPr>
        <w:t xml:space="preserve">Dr. Rajesh Kumar</w:t>
      </w:r>
      <w:r>
        <w:br/>
      </w:r>
      <w:r>
        <w:t xml:space="preserve">Chairperson, Peer Review Committee</w:t>
      </w:r>
    </w:p>
    <w:p>
      <w:pPr>
        <w:pStyle w:val="BodyText"/>
      </w:pPr>
      <w:r>
        <w:rPr>
          <w:bCs/>
          <w:b/>
        </w:rPr>
        <w:t xml:space="preserve">Adv. Priya Sharma</w:t>
      </w:r>
      <w:r>
        <w:br/>
      </w:r>
      <w:r>
        <w:t xml:space="preserve">Senior Member, Ethics Board</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Independent Legal Ethics and Competency Board,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Assessment</dc:title>
  <dc:creator/>
  <dc:language>en</dc:language>
  <cp:keywords/>
  <dcterms:created xsi:type="dcterms:W3CDTF">2026-10-10T12:04:29Z</dcterms:created>
  <dcterms:modified xsi:type="dcterms:W3CDTF">2026-10-10T12:04:29Z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