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Indonesia</w:t>
      </w:r>
      <w:r>
        <w:t xml:space="preserve"> </w:t>
      </w:r>
      <w:r>
        <w:t xml:space="preserve">Jakarta</w:t>
      </w:r>
    </w:p>
    <w:bookmarkStart w:id="33" w:name="X070c9204ad02f14e3db12f786a0d0d99a15b93a"/>
    <w:p>
      <w:pPr>
        <w:pStyle w:val="Heading1"/>
      </w:pPr>
      <w:r>
        <w:t xml:space="preserve">Peer Review Report: Professional Competence and Ethical Compliance</w:t>
      </w:r>
    </w:p>
    <w:p>
      <w:pPr>
        <w:pStyle w:val="FirstParagraph"/>
      </w:pPr>
      <w:r>
        <w:rPr>
          <w:bCs/>
          <w:b/>
        </w:rPr>
        <w:t xml:space="preserve">Subject:</w:t>
      </w:r>
      <w:r>
        <w:t xml:space="preserve"> </w:t>
      </w:r>
      <w:r>
        <w:t xml:space="preserve">Evaluation of Legal Practice Standards for a Lawyer</w:t>
      </w:r>
    </w:p>
    <w:p>
      <w:pPr>
        <w:pStyle w:val="BodyText"/>
      </w:pPr>
      <w:r>
        <w:rPr>
          <w:bCs/>
          <w:b/>
        </w:rPr>
        <w:t xml:space="preserve">Jurisdiction:</w:t>
      </w:r>
      <w:r>
        <w:t xml:space="preserve"> </w:t>
      </w:r>
      <w:r>
        <w:t xml:space="preserve">Indonesia Jakarta (Special Capital Region of Jakarta)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Legal Peer Review Committee</w:t>
      </w:r>
    </w:p>
    <w:p>
      <w:pPr>
        <w:pStyle w:val="BodyText"/>
      </w:pPr>
      <w:r>
        <w:rPr>
          <w:bCs/>
          <w:b/>
        </w:rPr>
        <w:t xml:space="preserve">Reference:</w:t>
      </w:r>
      <w:r>
        <w:t xml:space="preserve"> </w:t>
      </w:r>
      <w:r>
        <w:t xml:space="preserve">PERADI Code of Ethics &amp; Indonesian Advocacy Law</w:t>
      </w:r>
    </w:p>
    <w:bookmarkStart w:id="20" w:name="executive-summary"/>
    <w:p>
      <w:pPr>
        <w:pStyle w:val="Heading2"/>
      </w:pPr>
      <w:r>
        <w:t xml:space="preserve">1. Executive Summary</w:t>
      </w:r>
    </w:p>
    <w:p>
      <w:pPr>
        <w:pStyle w:val="FirstParagraph"/>
      </w:pPr>
      <w:r>
        <w:t xml:space="preserve">This Peer Review Report has been commissioned to evaluate the professional conduct, technical competence, and ethical adherence of a practicing Lawyer operating within the dynamic legal landscape of Indonesia Jakarta. The purpose of this review is to ensure that the subject meets the rigorous standards expected by the Indonesian Advocates Association (PERADI) and complies with the prevailing regulations set forth by the Supreme Court of the Republic of Indonesia.</w:t>
      </w:r>
    </w:p>
    <w:p>
      <w:pPr>
        <w:pStyle w:val="BodyText"/>
      </w:pPr>
      <w:r>
        <w:t xml:space="preserve">The legal environment in Indonesia Jakarta is characterized by a high volume of commercial litigation, complex corporate transactions, and an evolving regulatory framework. Consequently, the expectations placed upon a Lawyer in this jurisdiction are exceptionally high. This report details the findings regarding the subject's ability to navigate these complexities while maintaining the highest standards of integrity and client service.</w:t>
      </w:r>
    </w:p>
    <w:bookmarkEnd w:id="20"/>
    <w:bookmarkStart w:id="21" w:name="scope-of-the-review"/>
    <w:p>
      <w:pPr>
        <w:pStyle w:val="Heading2"/>
      </w:pPr>
      <w:r>
        <w:t xml:space="preserve">2. Scope of the Review</w:t>
      </w:r>
    </w:p>
    <w:p>
      <w:pPr>
        <w:pStyle w:val="FirstParagraph"/>
      </w:pPr>
      <w:r>
        <w:t xml:space="preserve">The scope of this Peer Review Report encompasses a comprehensive analysis of the Lawyer's practice over the preceding twenty-four months. The review focuses on three primary pillars:</w:t>
      </w:r>
    </w:p>
    <w:p>
      <w:pPr>
        <w:numPr>
          <w:ilvl w:val="0"/>
          <w:numId w:val="1001"/>
        </w:numPr>
        <w:pStyle w:val="Compact"/>
      </w:pPr>
      <w:r>
        <w:rPr>
          <w:bCs/>
          <w:b/>
        </w:rPr>
        <w:t xml:space="preserve">Technical Legal Proficiency:</w:t>
      </w:r>
      <w:r>
        <w:t xml:space="preserve"> </w:t>
      </w:r>
      <w:r>
        <w:t xml:space="preserve">Assessment of legal research, drafting capabilities, and courtroom advocacy specific to Indonesian law.</w:t>
      </w:r>
    </w:p>
    <w:p>
      <w:pPr>
        <w:numPr>
          <w:ilvl w:val="0"/>
          <w:numId w:val="1001"/>
        </w:numPr>
        <w:pStyle w:val="Compact"/>
      </w:pPr>
      <w:r>
        <w:rPr>
          <w:bCs/>
          <w:b/>
        </w:rPr>
        <w:t xml:space="preserve">Ethical Compliance:</w:t>
      </w:r>
      <w:r>
        <w:t xml:space="preserve"> </w:t>
      </w:r>
      <w:r>
        <w:t xml:space="preserve">Adherence to the PERADI Code of Ethics and professional responsibility standards.</w:t>
      </w:r>
    </w:p>
    <w:p>
      <w:pPr>
        <w:numPr>
          <w:ilvl w:val="0"/>
          <w:numId w:val="1001"/>
        </w:numPr>
        <w:pStyle w:val="Compact"/>
      </w:pPr>
      <w:r>
        <w:rPr>
          <w:bCs/>
          <w:b/>
        </w:rPr>
        <w:t xml:space="preserve">Client Management:</w:t>
      </w:r>
      <w:r>
        <w:t xml:space="preserve"> </w:t>
      </w:r>
      <w:r>
        <w:t xml:space="preserve">Evaluation of communication, conflict of interest checks, and fee transparency within the Indonesia Jakarta market.</w:t>
      </w:r>
    </w:p>
    <w:bookmarkEnd w:id="21"/>
    <w:bookmarkStart w:id="24" w:name="technical-competence-and-legal-knowledge"/>
    <w:p>
      <w:pPr>
        <w:pStyle w:val="Heading2"/>
      </w:pPr>
      <w:r>
        <w:t xml:space="preserve">3. Technical Competence and Legal Knowledge</w:t>
      </w:r>
    </w:p>
    <w:bookmarkStart w:id="22" w:name="mastery-of-local-and-national-law"/>
    <w:p>
      <w:pPr>
        <w:pStyle w:val="Heading3"/>
      </w:pPr>
      <w:r>
        <w:t xml:space="preserve">3.1 Mastery of Local and National Law</w:t>
      </w:r>
    </w:p>
    <w:p>
      <w:pPr>
        <w:pStyle w:val="FirstParagraph"/>
      </w:pPr>
      <w:r>
        <w:t xml:space="preserve">A fundamental requirement for any Lawyer in Indonesia Jakarta is a profound understanding of both national statutes and local regulations. The review confirms that the subject demonstrates a robust command of the Indonesian Civil Code (KUHPerdata), the Criminal Code (KUHP), and relevant commercial laws. Specifically, the Lawyer exhibits a strong grasp of the Company Law (UU Perseroan Terbatas) and the Capital Market Law, which are critical for the corporate sector in Jakarta.</w:t>
      </w:r>
    </w:p>
    <w:p>
      <w:pPr>
        <w:pStyle w:val="BodyText"/>
      </w:pPr>
      <w:r>
        <w:t xml:space="preserve">Furthermore, the subject shows an aptitude for navigating the specific administrative regulations of the Special Capital Region of Jakarta (Daerah Khusus Ibukota Jakarta). This includes familiarity with local spatial planning regulations (RTRW) and business licensing procedures, which are often pivotal in real estate and infrastructure disputes common in the capital.</w:t>
      </w:r>
    </w:p>
    <w:bookmarkEnd w:id="22"/>
    <w:bookmarkStart w:id="23" w:name="drafting-and-advocacy"/>
    <w:p>
      <w:pPr>
        <w:pStyle w:val="Heading3"/>
      </w:pPr>
      <w:r>
        <w:t xml:space="preserve">3.2 Drafting and Advocacy</w:t>
      </w:r>
    </w:p>
    <w:p>
      <w:pPr>
        <w:pStyle w:val="FirstParagraph"/>
      </w:pPr>
      <w:r>
        <w:t xml:space="preserve">The quality of legal instruments drafted by the Lawyer was scrutinized. The review found that contracts, legal opinions, and court submissions are drafted with precision, clarity, and appropriate legal terminology. The Lawyer effectively balances the use of formal Indonesian legal language with the practical necessities of international business, a common requirement for clients in Indonesia Jakarta.</w:t>
      </w:r>
    </w:p>
    <w:p>
      <w:pPr>
        <w:pStyle w:val="BodyText"/>
      </w:pPr>
      <w:r>
        <w:t xml:space="preserve">In terms of advocacy, the subject demonstrates preparedness and respect for the court. The ability to present arguments logically before the District Court (Pengadilan Negeri) and the High Court (Pengadilan Tinggi) in Jakarta is evident. The Lawyer maintains a professional demeanor, adhering to the decorum expected within the Indonesian judicial system.</w:t>
      </w:r>
    </w:p>
    <w:bookmarkEnd w:id="23"/>
    <w:bookmarkEnd w:id="24"/>
    <w:bookmarkStart w:id="27" w:name="Xe47b1f6aa823ad1cecf5b041225a90b15b97f39"/>
    <w:p>
      <w:pPr>
        <w:pStyle w:val="Heading2"/>
      </w:pPr>
      <w:r>
        <w:t xml:space="preserve">4. Ethical Standards and Professional Responsibility</w:t>
      </w:r>
    </w:p>
    <w:bookmarkStart w:id="25" w:name="adherence-to-peradi-guidelines"/>
    <w:p>
      <w:pPr>
        <w:pStyle w:val="Heading3"/>
      </w:pPr>
      <w:r>
        <w:t xml:space="preserve">4.1 Adherence to PERADI Guidelines</w:t>
      </w:r>
    </w:p>
    <w:p>
      <w:pPr>
        <w:pStyle w:val="FirstParagraph"/>
      </w:pPr>
      <w:r>
        <w:t xml:space="preserve">Integrity is the cornerstone of the legal profession. This Peer Review Report assesses the Lawyer's compliance with the PERADI Code of Ethics. The findings indicate that the subject strictly observes the principles of independence, confidentiality, and loyalty to the client. There were no instances of unethical behavior, such as soliciting clients through improper means or engaging in conflicts of interest.</w:t>
      </w:r>
    </w:p>
    <w:p>
      <w:pPr>
        <w:pStyle w:val="BodyText"/>
      </w:pPr>
      <w:r>
        <w:t xml:space="preserve">The Lawyer maintains a clear separation between personal interests and professional duties. In the high-stakes environment of Indonesia Jakarta, where business relationships can be complex, the subject has successfully implemented rigorous conflict of interest checks before accepting new mandates.</w:t>
      </w:r>
    </w:p>
    <w:bookmarkEnd w:id="25"/>
    <w:bookmarkStart w:id="26" w:name="confidentiality-and-data-protection"/>
    <w:p>
      <w:pPr>
        <w:pStyle w:val="Heading3"/>
      </w:pPr>
      <w:r>
        <w:t xml:space="preserve">4.2 Confidentiality and Data Protection</w:t>
      </w:r>
    </w:p>
    <w:p>
      <w:pPr>
        <w:pStyle w:val="FirstParagraph"/>
      </w:pPr>
      <w:r>
        <w:t xml:space="preserve">Given the increasing focus on data privacy in Indonesia, the Lawyer has adopted appropriate measures to protect client information. The review confirms that sensitive documents are stored securely, and digital communication channels are encrypted where necessary. This diligence is particularly important for corporate clients operating in Indonesia Jakarta who handle vast amounts of proprietary data.</w:t>
      </w:r>
    </w:p>
    <w:bookmarkEnd w:id="26"/>
    <w:bookmarkEnd w:id="27"/>
    <w:bookmarkStart w:id="30" w:name="client-relations-and-service-delivery"/>
    <w:p>
      <w:pPr>
        <w:pStyle w:val="Heading2"/>
      </w:pPr>
      <w:r>
        <w:t xml:space="preserve">5. Client Relations and Service Delivery</w:t>
      </w:r>
    </w:p>
    <w:bookmarkStart w:id="28" w:name="communication-and-responsiveness"/>
    <w:p>
      <w:pPr>
        <w:pStyle w:val="Heading3"/>
      </w:pPr>
      <w:r>
        <w:t xml:space="preserve">5.1 Communication and Responsiveness</w:t>
      </w:r>
    </w:p>
    <w:p>
      <w:pPr>
        <w:pStyle w:val="FirstParagraph"/>
      </w:pPr>
      <w:r>
        <w:t xml:space="preserve">Effective communication is vital for a Lawyer serving clients in a fast-paced metropolis like Indonesia Jakarta. The review highlights that the subject is responsive to client inquiries and provides regular updates on the status of legal matters. The Lawyer is able to explain complex legal concepts in a manner that is accessible to clients, ensuring informed decision-making.</w:t>
      </w:r>
    </w:p>
    <w:p>
      <w:pPr>
        <w:pStyle w:val="BodyText"/>
      </w:pPr>
      <w:r>
        <w:t xml:space="preserve">Feedback from peers and clients suggests that the Lawyer is approachable yet maintains professional boundaries. The ability to manage client expectations regarding timelines and outcomes, particularly in the context of the Indonesian judicial process, is a notable strength.</w:t>
      </w:r>
    </w:p>
    <w:bookmarkEnd w:id="28"/>
    <w:bookmarkStart w:id="29" w:name="fee-transparency"/>
    <w:p>
      <w:pPr>
        <w:pStyle w:val="Heading3"/>
      </w:pPr>
      <w:r>
        <w:t xml:space="preserve">5.2 Fee Transparency</w:t>
      </w:r>
    </w:p>
    <w:p>
      <w:pPr>
        <w:pStyle w:val="FirstParagraph"/>
      </w:pPr>
      <w:r>
        <w:t xml:space="preserve">The review examined the Lawyer's billing practices. It was found that fee agreements are clearly documented and agreed upon in writing prior to the commencement of services. The Lawyer provides detailed invoices that accurately reflect the work performed, ensuring transparency and trust. This practice aligns with best standards for legal service providers in Indonesia Jakarta.</w:t>
      </w:r>
    </w:p>
    <w:bookmarkEnd w:id="29"/>
    <w:bookmarkEnd w:id="30"/>
    <w:bookmarkStart w:id="31" w:name="areas-for-improvement"/>
    <w:p>
      <w:pPr>
        <w:pStyle w:val="Heading2"/>
      </w:pPr>
      <w:r>
        <w:t xml:space="preserve">6. Areas for Improvement</w:t>
      </w:r>
    </w:p>
    <w:p>
      <w:pPr>
        <w:pStyle w:val="FirstParagraph"/>
      </w:pPr>
      <w:r>
        <w:t xml:space="preserve">While the overall assessment is positive, this Peer Review Report identifies a few areas where the Lawyer could enhance their practice:</w:t>
      </w:r>
    </w:p>
    <w:p>
      <w:pPr>
        <w:numPr>
          <w:ilvl w:val="0"/>
          <w:numId w:val="1002"/>
        </w:numPr>
        <w:pStyle w:val="Compact"/>
      </w:pPr>
      <w:r>
        <w:rPr>
          <w:bCs/>
          <w:b/>
        </w:rPr>
        <w:t xml:space="preserve">Continuing Legal Education (CLE):</w:t>
      </w:r>
      <w:r>
        <w:t xml:space="preserve"> </w:t>
      </w:r>
      <w:r>
        <w:t xml:space="preserve">It is recommended that the Lawyer increase participation in specialized seminars regarding emerging areas of law, such as digital assets and environmental regulations, which are gaining prominence in Indonesia Jakarta.</w:t>
      </w:r>
    </w:p>
    <w:p>
      <w:pPr>
        <w:numPr>
          <w:ilvl w:val="0"/>
          <w:numId w:val="1002"/>
        </w:numPr>
        <w:pStyle w:val="Compact"/>
      </w:pPr>
      <w:r>
        <w:rPr>
          <w:bCs/>
          <w:b/>
        </w:rPr>
        <w:t xml:space="preserve">Technology Integration:</w:t>
      </w:r>
      <w:r>
        <w:t xml:space="preserve"> </w:t>
      </w:r>
      <w:r>
        <w:t xml:space="preserve">Adopting more advanced legal tech tools for case management and document review could further improve efficiency and service delivery.</w:t>
      </w:r>
    </w:p>
    <w:bookmarkEnd w:id="31"/>
    <w:bookmarkStart w:id="32" w:name="conclusion"/>
    <w:p>
      <w:pPr>
        <w:pStyle w:val="Heading2"/>
      </w:pPr>
      <w:r>
        <w:t xml:space="preserve">7. Conclusion</w:t>
      </w:r>
    </w:p>
    <w:p>
      <w:pPr>
        <w:pStyle w:val="FirstParagraph"/>
      </w:pPr>
      <w:r>
        <w:t xml:space="preserve">Based on the comprehensive evaluation conducted, this Peer Review Report concludes that the Lawyer under review demonstrates a high level of professional competence, ethical integrity, and dedication to client service. The subject is well-equipped to handle the legal challenges presented by the jurisdiction of Indonesia Jakarta.</w:t>
      </w:r>
    </w:p>
    <w:p>
      <w:pPr>
        <w:pStyle w:val="BodyText"/>
      </w:pPr>
      <w:r>
        <w:t xml:space="preserve">The Lawyer's practice aligns with the standards set by PERADI and the broader expectations of the Indonesian legal community. With continued commitment to professional development and the implementation of the suggested improvements, the Lawyer is poised to maintain a reputable and successful practice in the capital region.</w:t>
      </w:r>
    </w:p>
    <w:p>
      <w:pPr>
        <w:pStyle w:val="BodyText"/>
      </w:pPr>
      <w:r>
        <w:rPr>
          <w:bCs/>
          <w:b/>
        </w:rPr>
        <w:t xml:space="preserve">Prepared by:</w:t>
      </w:r>
    </w:p>
    <w:p>
      <w:pPr>
        <w:pStyle w:val="BodyText"/>
      </w:pPr>
      <w:r>
        <w:t xml:space="preserve">Senior Peer Reviewer</w:t>
      </w:r>
    </w:p>
    <w:p>
      <w:pPr>
        <w:pStyle w:val="BodyText"/>
      </w:pPr>
      <w:r>
        <w:t xml:space="preserve">Independent Legal Peer Review Committee</w:t>
      </w:r>
    </w:p>
    <w:p>
      <w:pPr>
        <w:pStyle w:val="BodyText"/>
      </w:pPr>
      <w:r>
        <w:rPr>
          <w:iCs/>
          <w:i/>
        </w:rPr>
        <w:t xml:space="preserve">Indonesia Jakarta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Indonesia Jakarta</dc:title>
  <dc:creator/>
  <dc:language>en</dc:language>
  <cp:keywords/>
  <dcterms:created xsi:type="dcterms:W3CDTF">2026-10-10T03:20:16Z</dcterms:created>
  <dcterms:modified xsi:type="dcterms:W3CDTF">2026-10-10T03:20:16Z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