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Iran</w:t>
      </w:r>
      <w:r>
        <w:t xml:space="preserve"> </w:t>
      </w:r>
      <w:r>
        <w:t xml:space="preserve">Tehran</w:t>
      </w:r>
    </w:p>
    <w:bookmarkStart w:id="29"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 operating in Iran Tehran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Jurisdiction:</w:t>
      </w:r>
      <w:r>
        <w:t xml:space="preserve"> </w:t>
      </w:r>
      <w:r>
        <w:t xml:space="preserve">Islamic Republic of Iran, Tehran Province</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legal acumen, and ethical compliance of a Lawyer practicing within the jurisdiction of Iran Tehran. The legal landscape in Tehran is characterized by a complex synthesis of civil law traditions and Islamic jurisprudence (Sharia). Consequently, the evaluation criteria for a legal practitioner in this region are rigorous, demanding not only mastery of statutory codes but also a profound understanding of religious legal principles. This report assesses the subject's ability to navigate the Tehran Bar Association regulations, their proficiency in local court procedures, and their adherence to the Code of Ethics for Lawyers in Iran.</w:t>
      </w:r>
    </w:p>
    <w:bookmarkEnd w:id="20"/>
    <w:bookmarkStart w:id="21" w:name="Xa3816d934223e39aba1101858ca7c63925294bb"/>
    <w:p>
      <w:pPr>
        <w:pStyle w:val="Heading2"/>
      </w:pPr>
      <w:r>
        <w:t xml:space="preserve">2. Jurisdictional Context and Regulatory Framework</w:t>
      </w:r>
    </w:p>
    <w:p>
      <w:pPr>
        <w:pStyle w:val="FirstParagraph"/>
      </w:pPr>
      <w:r>
        <w:t xml:space="preserve">To accurately assess a Lawyer in Iran Tehran, one must first establish the regulatory environment. The primary governing body is the Tehran Bar Association (Kanoon Vokala-ye Tehran). Membership in this body is a prerequisite for practicing law in the capital's courts. The review process scrutinizes whether the subject maintains active membership and good standing with the Bar Association.</w:t>
      </w:r>
    </w:p>
    <w:p>
      <w:pPr>
        <w:pStyle w:val="BodyText"/>
      </w:pPr>
      <w:r>
        <w:t xml:space="preserve">Furthermore, the legal system in Iran is dualistic. A competent Lawyer must be fluent in both the Civil Code of Iran and the principles of Fiqh (Islamic Jurisprudence). In Tehran, where high-value commercial disputes and complex family law cases are prevalent, the inability to cite relevant Sharia principles alongside statutory law is considered a significant professional deficiency. This report confirms that the subject demonstrates the requisite bilingual legal literacy, capable of arguing cases in Persian with the appropriate legal terminology expected by judges in Tehran's judicial districts.</w:t>
      </w:r>
    </w:p>
    <w:bookmarkEnd w:id="21"/>
    <w:bookmarkStart w:id="24" w:name="assessment-of-professional-competence"/>
    <w:p>
      <w:pPr>
        <w:pStyle w:val="Heading2"/>
      </w:pPr>
      <w:r>
        <w:t xml:space="preserve">3. Assessment of Professional Competence</w:t>
      </w:r>
    </w:p>
    <w:bookmarkStart w:id="22" w:name="knowledge-of-substantive-law"/>
    <w:p>
      <w:pPr>
        <w:pStyle w:val="Heading3"/>
      </w:pPr>
      <w:r>
        <w:t xml:space="preserve">3.1. Knowledge of Substantive Law</w:t>
      </w:r>
    </w:p>
    <w:p>
      <w:pPr>
        <w:pStyle w:val="FirstParagraph"/>
      </w:pPr>
      <w:r>
        <w:t xml:space="preserve">The peer review panel examined the subject's case files and legal opinions. The Lawyer demonstrates a robust understanding of Iranian substantive law. Specifically, the review highlights proficiency in:</w:t>
      </w:r>
    </w:p>
    <w:p>
      <w:pPr>
        <w:numPr>
          <w:ilvl w:val="0"/>
          <w:numId w:val="1001"/>
        </w:numPr>
        <w:pStyle w:val="Compact"/>
      </w:pPr>
      <w:r>
        <w:rPr>
          <w:bCs/>
          <w:b/>
        </w:rPr>
        <w:t xml:space="preserve">Family Law:</w:t>
      </w:r>
      <w:r>
        <w:t xml:space="preserve"> </w:t>
      </w:r>
      <w:r>
        <w:t xml:space="preserve">Navigating the complexities of marriage, divorce, and child custody under Iranian law, which is heavily influenced by religious doctrine.</w:t>
      </w:r>
    </w:p>
    <w:p>
      <w:pPr>
        <w:numPr>
          <w:ilvl w:val="0"/>
          <w:numId w:val="1001"/>
        </w:numPr>
        <w:pStyle w:val="Compact"/>
      </w:pPr>
      <w:r>
        <w:rPr>
          <w:bCs/>
          <w:b/>
        </w:rPr>
        <w:t xml:space="preserve">Commercial Law:</w:t>
      </w:r>
      <w:r>
        <w:t xml:space="preserve"> </w:t>
      </w:r>
      <w:r>
        <w:t xml:space="preserve">Handling disputes related to the Iranian Commercial Code, including contract enforcement and corporate governance within Tehran's business districts.</w:t>
      </w:r>
    </w:p>
    <w:p>
      <w:pPr>
        <w:numPr>
          <w:ilvl w:val="0"/>
          <w:numId w:val="1001"/>
        </w:numPr>
        <w:pStyle w:val="Compact"/>
      </w:pPr>
      <w:r>
        <w:rPr>
          <w:bCs/>
          <w:b/>
        </w:rPr>
        <w:t xml:space="preserve">Real Estate Law:</w:t>
      </w:r>
      <w:r>
        <w:t xml:space="preserve"> </w:t>
      </w:r>
      <w:r>
        <w:t xml:space="preserve">Managing property transactions and disputes, a critical area in Tehran given the high density of real estate litigation.</w:t>
      </w:r>
    </w:p>
    <w:p>
      <w:pPr>
        <w:pStyle w:val="FirstParagraph"/>
      </w:pPr>
      <w:r>
        <w:t xml:space="preserve">The subject's ability to interpret the Civil Code in light of recent judicial precedents set by the Tehran Court of Appeals is noted as a strength.</w:t>
      </w:r>
    </w:p>
    <w:bookmarkEnd w:id="22"/>
    <w:bookmarkStart w:id="23" w:name="procedural-proficiency"/>
    <w:p>
      <w:pPr>
        <w:pStyle w:val="Heading3"/>
      </w:pPr>
      <w:r>
        <w:t xml:space="preserve">3.2. Procedural Proficiency</w:t>
      </w:r>
    </w:p>
    <w:p>
      <w:pPr>
        <w:pStyle w:val="FirstParagraph"/>
      </w:pPr>
      <w:r>
        <w:t xml:space="preserve">Procedural law in Iran is strict regarding deadlines and documentation. A failure to adhere to the Code of Civil Procedure can result in the dismissal of a client's case. The review indicates that the Lawyer maintains meticulous records and adheres strictly to filing deadlines. The subject is well-versed in the electronic case management systems utilized by the Judiciary of Iran, ensuring that all filings in Tehran courts are processed efficiently.</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The Code of Ethics for Lawyers in Iran places a heavy emphasis on integrity, confidentiality, and loyalty to the client. This Peer Review Report evaluates the subject against these standards.</w:t>
      </w:r>
    </w:p>
    <w:p>
      <w:pPr>
        <w:pStyle w:val="BodyText"/>
      </w:pPr>
      <w:r>
        <w:rPr>
          <w:bCs/>
          <w:b/>
        </w:rPr>
        <w:t xml:space="preserve">Confidentiality:</w:t>
      </w:r>
      <w:r>
        <w:t xml:space="preserve"> </w:t>
      </w:r>
      <w:r>
        <w:t xml:space="preserve">The Lawyer is required to maintain absolute confidentiality regarding client information. The review found no evidence of breaches of privilege. In the close-knit legal community of Tehran, reputation is paramount, and the subject is regarded as a guardian of client secrets.</w:t>
      </w:r>
    </w:p>
    <w:p>
      <w:pPr>
        <w:pStyle w:val="BodyText"/>
      </w:pPr>
      <w:r>
        <w:rPr>
          <w:bCs/>
          <w:b/>
        </w:rPr>
        <w:t xml:space="preserve">Conflict of Interest:</w:t>
      </w:r>
      <w:r>
        <w:t xml:space="preserve"> </w:t>
      </w:r>
      <w:r>
        <w:t xml:space="preserve">The subject demonstrates a rigorous process for identifying and managing conflicts of interest. This is particularly important in Tehran, where many law firms handle cases for competing commercial entities. The Lawyer successfully recused themselves from matters where a conflict was identified, adhering to the ethical guidelines set forth by the Bar Association.</w:t>
      </w:r>
    </w:p>
    <w:p>
      <w:pPr>
        <w:pStyle w:val="BodyText"/>
      </w:pPr>
      <w:r>
        <w:rPr>
          <w:bCs/>
          <w:b/>
        </w:rPr>
        <w:t xml:space="preserve">Relationship with the Judiciary:</w:t>
      </w:r>
      <w:r>
        <w:t xml:space="preserve"> </w:t>
      </w:r>
      <w:r>
        <w:t xml:space="preserve">Professional conduct requires a respectful and independent relationship with the courts. The Lawyer maintains a professional demeanor in court, avoiding any behavior that could be construed as disrespectful to the bench or obstructive to the administration of justice.</w:t>
      </w:r>
    </w:p>
    <w:bookmarkEnd w:id="25"/>
    <w:bookmarkStart w:id="26" w:name="client-relations-and-communication"/>
    <w:p>
      <w:pPr>
        <w:pStyle w:val="Heading2"/>
      </w:pPr>
      <w:r>
        <w:t xml:space="preserve">5. Client Relations and Communication</w:t>
      </w:r>
    </w:p>
    <w:p>
      <w:pPr>
        <w:pStyle w:val="FirstParagraph"/>
      </w:pPr>
      <w:r>
        <w:t xml:space="preserve">Effective communication is a cornerstone of legal practice. In the context of Iran Tehran, where legal processes can be lengthy and bureaucratic, managing client expectations is vital. The review assesses the Lawyer's ability to communicate complex legal concepts in clear Persian to clients who may not have legal backgrounds.</w:t>
      </w:r>
    </w:p>
    <w:p>
      <w:pPr>
        <w:pStyle w:val="BodyText"/>
      </w:pPr>
      <w:r>
        <w:t xml:space="preserve">The subject is commended for their responsiveness and transparency regarding case progress. The Lawyer provides regular updates to clients, ensuring they are informed of court dates, required documentation, and potential outcomes. This proactive approach mitigates client anxiety and fosters trust, which is essential for long-term professional relationships in the Tehran legal market.</w:t>
      </w:r>
    </w:p>
    <w:bookmarkEnd w:id="26"/>
    <w:bookmarkStart w:id="27" w:name="areas-for-improvement"/>
    <w:p>
      <w:pPr>
        <w:pStyle w:val="Heading2"/>
      </w:pPr>
      <w:r>
        <w:t xml:space="preserve">6. Areas for Improvement</w:t>
      </w:r>
    </w:p>
    <w:p>
      <w:pPr>
        <w:pStyle w:val="FirstParagraph"/>
      </w:pPr>
      <w:r>
        <w:t xml:space="preserve">While the overall assessment is positive, the Peer Review Report identifies areas for professional development:</w:t>
      </w:r>
    </w:p>
    <w:p>
      <w:pPr>
        <w:numPr>
          <w:ilvl w:val="0"/>
          <w:numId w:val="1002"/>
        </w:numPr>
        <w:pStyle w:val="Compact"/>
      </w:pPr>
      <w:r>
        <w:rPr>
          <w:bCs/>
          <w:b/>
        </w:rPr>
        <w:t xml:space="preserve">International Law Integration:</w:t>
      </w:r>
      <w:r>
        <w:t xml:space="preserve"> </w:t>
      </w:r>
      <w:r>
        <w:t xml:space="preserve">As Tehran becomes more integrated into global trade, there is a growing need for Lawyers to possess a deeper understanding of international arbitration and cross-border transactions. Enhancing expertise in this area would benefit the subject's practice.</w:t>
      </w:r>
    </w:p>
    <w:p>
      <w:pPr>
        <w:numPr>
          <w:ilvl w:val="0"/>
          <w:numId w:val="1002"/>
        </w:numPr>
        <w:pStyle w:val="Compact"/>
      </w:pPr>
      <w:r>
        <w:rPr>
          <w:bCs/>
          <w:b/>
        </w:rPr>
        <w:t xml:space="preserve">Digital Security:</w:t>
      </w:r>
      <w:r>
        <w:t xml:space="preserve"> </w:t>
      </w:r>
      <w:r>
        <w:t xml:space="preserve">With the increasing digitization of legal services in Iran, the Lawyer should invest in more robust cybersecurity measures to protect sensitive client data stored electronically.</w:t>
      </w:r>
    </w:p>
    <w:bookmarkEnd w:id="27"/>
    <w:bookmarkStart w:id="28" w:name="conclusion-and-recommendation"/>
    <w:p>
      <w:pPr>
        <w:pStyle w:val="Heading2"/>
      </w:pPr>
      <w:r>
        <w:t xml:space="preserve">7. Conclusion and Recommendation</w:t>
      </w:r>
    </w:p>
    <w:p>
      <w:pPr>
        <w:pStyle w:val="FirstParagraph"/>
      </w:pPr>
      <w:r>
        <w:t xml:space="preserve">Based on the comprehensive evaluation of legal knowledge, procedural competence, ethical conduct, and client relations, this Peer Review Report concludes that the Lawyer meets the high standards required for practice in Iran Tehran. The subject demonstrates a deep respect for the legal traditions of the Islamic Republic of Iran while maintaining the professional rigor expected by the Tehran Bar Association.</w:t>
      </w:r>
    </w:p>
    <w:p>
      <w:pPr>
        <w:pStyle w:val="BodyText"/>
      </w:pPr>
      <w:r>
        <w:t xml:space="preserve">The review panel recommends that the Lawyer continue their current trajectory of professional excellence. It is further recommended that the subject pursue continuing legal education focused on international commercial law to further enhance their value to clients operating in the dynamic economic environment of Tehran.</w:t>
      </w:r>
    </w:p>
    <w:p>
      <w:pPr>
        <w:pStyle w:val="BodyText"/>
      </w:pPr>
      <w:r>
        <w:rPr>
          <w:bCs/>
          <w:b/>
        </w:rPr>
        <w:t xml:space="preserve">Prepared by:</w:t>
      </w:r>
      <w:r>
        <w:br/>
      </w:r>
      <w:r>
        <w:t xml:space="preserve">Senior Peer Review Committee</w:t>
      </w:r>
      <w:r>
        <w:br/>
      </w:r>
      <w:r>
        <w:t xml:space="preserve">Legal Standards Assessment Board</w:t>
      </w:r>
      <w:r>
        <w:br/>
      </w:r>
      <w:r>
        <w:t xml:space="preserve">Tehran,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Iran Tehran</dc:title>
  <dc:creator/>
  <dc:language>en</dc:language>
  <cp:keywords/>
  <dcterms:created xsi:type="dcterms:W3CDTF">2026-10-10T03:11:40Z</dcterms:created>
  <dcterms:modified xsi:type="dcterms:W3CDTF">2026-10-10T03:11:40Z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