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Iraq</w:t>
      </w:r>
      <w:r>
        <w:t xml:space="preserve"> </w:t>
      </w:r>
      <w:r>
        <w:t xml:space="preserve">Baghdad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of a Lawyer</w:t>
      </w:r>
      <w:r>
        <w:br/>
      </w:r>
      <w:r>
        <w:rPr>
          <w:bCs/>
          <w:b/>
        </w:rPr>
        <w:t xml:space="preserve">Jurisdiction:</w:t>
      </w:r>
      <w:r>
        <w:t xml:space="preserve"> </w:t>
      </w:r>
      <w:r>
        <w:t xml:space="preserve">Iraq Baghdad</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Baghdad Bar Association Ethics Committee</w:t>
      </w:r>
      <w:r>
        <w:br/>
      </w:r>
      <w:r>
        <w:rPr>
          <w:bCs/>
          <w:b/>
        </w:rPr>
        <w:t xml:space="preserve">Reference ID:</w:t>
      </w:r>
      <w:r>
        <w:t xml:space="preserve"> </w:t>
      </w:r>
      <w:r>
        <w:t xml:space="preserve">BR-2023-BG-892</w:t>
      </w:r>
    </w:p>
    <w:bookmarkStart w:id="26" w:name="Xaf9b0b2b012de3f76c5116d9d556d1fc26f1a9b"/>
    <w:p>
      <w:pPr>
        <w:pStyle w:val="Heading1"/>
      </w:pPr>
      <w:r>
        <w:t xml:space="preserve">Peer Review Report: Evaluation of Legal Practice Standards</w:t>
      </w:r>
    </w:p>
    <w:p>
      <w:pPr>
        <w:pStyle w:val="FirstParagraph"/>
      </w:pPr>
      <w:r>
        <w:t xml:space="preserve">This document serves as a formal</w:t>
      </w:r>
      <w:r>
        <w:t xml:space="preserve"> </w:t>
      </w:r>
      <w:r>
        <w:rPr>
          <w:bCs/>
          <w:b/>
        </w:rPr>
        <w:t xml:space="preserve">Peer Review Report</w:t>
      </w:r>
      <w:r>
        <w:t xml:space="preserve"> </w:t>
      </w:r>
      <w:r>
        <w:t xml:space="preserve">regarding the professional conduct, technical competence, and ethical adherence of a practicing</w:t>
      </w:r>
      <w:r>
        <w:t xml:space="preserve"> </w:t>
      </w:r>
      <w:r>
        <w:rPr>
          <w:bCs/>
          <w:b/>
        </w:rPr>
        <w:t xml:space="preserve">Lawyer</w:t>
      </w:r>
      <w:r>
        <w:t xml:space="preserve"> </w:t>
      </w:r>
      <w:r>
        <w:t xml:space="preserve">operating within the jurisdiction of</w:t>
      </w:r>
      <w:r>
        <w:t xml:space="preserve"> </w:t>
      </w:r>
      <w:r>
        <w:rPr>
          <w:bCs/>
          <w:b/>
        </w:rPr>
        <w:t xml:space="preserve">Iraq Baghdad</w:t>
      </w:r>
      <w:r>
        <w:t xml:space="preserve">. The purpose of this review is to assess the quality of legal services provided, ensuring alignment with the Iraqi Code of Professional Conduct for Lawyers and the specific procedural requirements of the Baghdad Courts.</w:t>
      </w:r>
    </w:p>
    <w:p>
      <w:pPr>
        <w:pStyle w:val="BodyText"/>
      </w:pPr>
      <w:r>
        <w:t xml:space="preserve">The legal landscape in</w:t>
      </w:r>
      <w:r>
        <w:t xml:space="preserve"> </w:t>
      </w:r>
      <w:r>
        <w:rPr>
          <w:bCs/>
          <w:b/>
        </w:rPr>
        <w:t xml:space="preserve">Iraq Baghdad</w:t>
      </w:r>
      <w:r>
        <w:t xml:space="preserve"> </w:t>
      </w:r>
      <w:r>
        <w:t xml:space="preserve">is complex, characterized by a hybrid system involving civil law traditions, Islamic jurisprudence (Sharia), and specific local regulations. Consequently, the evaluation of a</w:t>
      </w:r>
      <w:r>
        <w:t xml:space="preserve"> </w:t>
      </w:r>
      <w:r>
        <w:rPr>
          <w:bCs/>
          <w:b/>
        </w:rPr>
        <w:t xml:space="preserve">Lawyer</w:t>
      </w:r>
      <w:r>
        <w:t xml:space="preserve"> </w:t>
      </w:r>
      <w:r>
        <w:t xml:space="preserve">in this region requires a nuanced understanding of both statutory law and the practical realities of the local judicial environment. This</w:t>
      </w:r>
      <w:r>
        <w:t xml:space="preserve"> </w:t>
      </w:r>
      <w:r>
        <w:rPr>
          <w:bCs/>
          <w:b/>
        </w:rPr>
        <w:t xml:space="preserve">Peer Review Report</w:t>
      </w:r>
      <w:r>
        <w:t xml:space="preserve"> </w:t>
      </w:r>
      <w:r>
        <w:t xml:space="preserve">aims to provide a comprehensive analysis based on file reviews, client feedback, and courtroom observation.</w:t>
      </w:r>
    </w:p>
    <w:bookmarkStart w:id="20" w:name="introduction-and-scope-of-review"/>
    <w:p>
      <w:pPr>
        <w:pStyle w:val="Heading2"/>
      </w:pPr>
      <w:r>
        <w:t xml:space="preserve">1. Introduction and Scope of Review</w:t>
      </w:r>
    </w:p>
    <w:p>
      <w:pPr>
        <w:pStyle w:val="FirstParagraph"/>
      </w:pPr>
      <w:r>
        <w:t xml:space="preserve">The scope of this</w:t>
      </w:r>
      <w:r>
        <w:t xml:space="preserve"> </w:t>
      </w:r>
      <w:r>
        <w:rPr>
          <w:bCs/>
          <w:b/>
        </w:rPr>
        <w:t xml:space="preserve">Peer Review Report</w:t>
      </w:r>
      <w:r>
        <w:t xml:space="preserve"> </w:t>
      </w:r>
      <w:r>
        <w:t xml:space="preserve">encompasses a six-month period of practice by the subject</w:t>
      </w:r>
      <w:r>
        <w:t xml:space="preserve"> </w:t>
      </w:r>
      <w:r>
        <w:rPr>
          <w:bCs/>
          <w:b/>
        </w:rPr>
        <w:t xml:space="preserve">Lawyer</w:t>
      </w:r>
      <w:r>
        <w:t xml:space="preserve">. The review focuses on three primary areas: litigation management within the Baghdad courts, client communication protocols, and adherence to ethical standards mandated by the Iraqi Bar Association. Given the high volume of cases in</w:t>
      </w:r>
      <w:r>
        <w:t xml:space="preserve"> </w:t>
      </w:r>
      <w:r>
        <w:rPr>
          <w:bCs/>
          <w:b/>
        </w:rPr>
        <w:t xml:space="preserve">Iraq Baghdad</w:t>
      </w:r>
      <w:r>
        <w:t xml:space="preserve">, particularly in commercial and family law, the efficiency and accuracy of the</w:t>
      </w:r>
      <w:r>
        <w:t xml:space="preserve"> </w:t>
      </w:r>
      <w:r>
        <w:rPr>
          <w:bCs/>
          <w:b/>
        </w:rPr>
        <w:t xml:space="preserve">Lawyer</w:t>
      </w:r>
      <w:r>
        <w:t xml:space="preserve"> </w:t>
      </w:r>
      <w:r>
        <w:t xml:space="preserve">are critical metrics for this assessment.</w:t>
      </w:r>
    </w:p>
    <w:bookmarkEnd w:id="20"/>
    <w:bookmarkStart w:id="21" w:name="technical-competence-and-legal-knowledge"/>
    <w:p>
      <w:pPr>
        <w:pStyle w:val="Heading2"/>
      </w:pPr>
      <w:r>
        <w:t xml:space="preserve">2. Technical Competence and Legal Knowledge</w:t>
      </w:r>
    </w:p>
    <w:p>
      <w:pPr>
        <w:pStyle w:val="FirstParagraph"/>
      </w:pPr>
      <w:r>
        <w:t xml:space="preserve">A fundamental requirement for any</w:t>
      </w:r>
      <w:r>
        <w:t xml:space="preserve"> </w:t>
      </w:r>
      <w:r>
        <w:rPr>
          <w:bCs/>
          <w:b/>
        </w:rPr>
        <w:t xml:space="preserve">Lawyer</w:t>
      </w:r>
      <w:r>
        <w:t xml:space="preserve"> </w:t>
      </w:r>
      <w:r>
        <w:t xml:space="preserve">in</w:t>
      </w:r>
      <w:r>
        <w:t xml:space="preserve"> </w:t>
      </w:r>
      <w:r>
        <w:rPr>
          <w:bCs/>
          <w:b/>
        </w:rPr>
        <w:t xml:space="preserve">Iraq Baghdad</w:t>
      </w:r>
      <w:r>
        <w:t xml:space="preserve"> </w:t>
      </w:r>
      <w:r>
        <w:t xml:space="preserve">is a robust command of the Iraqi Civil Code, the Code of Criminal Procedure, and the Commercial Code. The</w:t>
      </w:r>
      <w:r>
        <w:t xml:space="preserve"> </w:t>
      </w:r>
      <w:r>
        <w:rPr>
          <w:bCs/>
          <w:b/>
        </w:rPr>
        <w:t xml:space="preserve">Peer Review Report</w:t>
      </w:r>
      <w:r>
        <w:t xml:space="preserve"> </w:t>
      </w:r>
      <w:r>
        <w:t xml:space="preserve">indicates that the subject</w:t>
      </w:r>
      <w:r>
        <w:t xml:space="preserve"> </w:t>
      </w:r>
      <w:r>
        <w:rPr>
          <w:bCs/>
          <w:b/>
        </w:rPr>
        <w:t xml:space="preserve">Lawyer</w:t>
      </w:r>
      <w:r>
        <w:t xml:space="preserve"> </w:t>
      </w:r>
      <w:r>
        <w:t xml:space="preserve">demonstrates a strong grasp of these foundational texts. Specifically, the drafting of legal pleadings submitted to the Baghdad Court of First Instance shows a high level of precision and logical structure.</w:t>
      </w:r>
    </w:p>
    <w:p>
      <w:pPr>
        <w:pStyle w:val="BodyText"/>
      </w:pPr>
      <w:r>
        <w:t xml:space="preserve">However, the review notes that the legal environment in</w:t>
      </w:r>
      <w:r>
        <w:t xml:space="preserve"> </w:t>
      </w:r>
      <w:r>
        <w:rPr>
          <w:bCs/>
          <w:b/>
        </w:rPr>
        <w:t xml:space="preserve">Iraq Baghdad</w:t>
      </w:r>
      <w:r>
        <w:t xml:space="preserve"> </w:t>
      </w:r>
      <w:r>
        <w:t xml:space="preserve">is subject to frequent legislative updates. The</w:t>
      </w:r>
      <w:r>
        <w:t xml:space="preserve"> </w:t>
      </w:r>
      <w:r>
        <w:rPr>
          <w:bCs/>
          <w:b/>
        </w:rPr>
        <w:t xml:space="preserve">Lawyer</w:t>
      </w:r>
      <w:r>
        <w:t xml:space="preserve"> </w:t>
      </w:r>
      <w:r>
        <w:t xml:space="preserve">is expected to stay abreast of these changes. While the current file review shows competence in established law, there is a recommendation for the</w:t>
      </w:r>
      <w:r>
        <w:t xml:space="preserve"> </w:t>
      </w:r>
      <w:r>
        <w:rPr>
          <w:bCs/>
          <w:b/>
        </w:rPr>
        <w:t xml:space="preserve">Lawyer</w:t>
      </w:r>
      <w:r>
        <w:t xml:space="preserve"> </w:t>
      </w:r>
      <w:r>
        <w:t xml:space="preserve">to enhance their familiarity with recent amendments regarding digital evidence and commercial arbitration, which are increasingly relevant in Baghdad's growing business sector.</w:t>
      </w:r>
    </w:p>
    <w:bookmarkEnd w:id="21"/>
    <w:bookmarkStart w:id="22" w:name="X112b370ef3d6197dcefbadb736b7a73372bac11"/>
    <w:p>
      <w:pPr>
        <w:pStyle w:val="Heading2"/>
      </w:pPr>
      <w:r>
        <w:t xml:space="preserve">3. Litigation Strategy and Courtroom Conduct</w:t>
      </w:r>
    </w:p>
    <w:p>
      <w:pPr>
        <w:pStyle w:val="FirstParagraph"/>
      </w:pPr>
      <w:r>
        <w:t xml:space="preserve">The conduct of a</w:t>
      </w:r>
      <w:r>
        <w:t xml:space="preserve"> </w:t>
      </w:r>
      <w:r>
        <w:rPr>
          <w:bCs/>
          <w:b/>
        </w:rPr>
        <w:t xml:space="preserve">Lawyer</w:t>
      </w:r>
      <w:r>
        <w:t xml:space="preserve"> </w:t>
      </w:r>
      <w:r>
        <w:t xml:space="preserve">in the courtroom is a vital component of this</w:t>
      </w:r>
      <w:r>
        <w:t xml:space="preserve"> </w:t>
      </w:r>
      <w:r>
        <w:rPr>
          <w:bCs/>
          <w:b/>
        </w:rPr>
        <w:t xml:space="preserve">Peer Review Report</w:t>
      </w:r>
      <w:r>
        <w:t xml:space="preserve">. In</w:t>
      </w:r>
      <w:r>
        <w:t xml:space="preserve"> </w:t>
      </w:r>
      <w:r>
        <w:rPr>
          <w:bCs/>
          <w:b/>
        </w:rPr>
        <w:t xml:space="preserve">Iraq Baghdad</w:t>
      </w:r>
      <w:r>
        <w:t xml:space="preserve">, courtroom decorum and respect for judicial hierarchy are paramount. Observations reveal that the</w:t>
      </w:r>
      <w:r>
        <w:t xml:space="preserve"> </w:t>
      </w:r>
      <w:r>
        <w:rPr>
          <w:bCs/>
          <w:b/>
        </w:rPr>
        <w:t xml:space="preserve">Lawyer</w:t>
      </w:r>
      <w:r>
        <w:t xml:space="preserve"> </w:t>
      </w:r>
      <w:r>
        <w:t xml:space="preserve">maintains a professional demeanor, addressing judges with the appropriate titles and adhering to procedural timelines.</w:t>
      </w:r>
    </w:p>
    <w:p>
      <w:pPr>
        <w:pStyle w:val="BodyText"/>
      </w:pPr>
      <w:r>
        <w:t xml:space="preserve">Furthermore, the</w:t>
      </w:r>
      <w:r>
        <w:t xml:space="preserve"> </w:t>
      </w:r>
      <w:r>
        <w:rPr>
          <w:bCs/>
          <w:b/>
        </w:rPr>
        <w:t xml:space="preserve">Lawyer</w:t>
      </w:r>
      <w:r>
        <w:t xml:space="preserve">’s ability to navigate the specific administrative procedures of the Baghdad courts is satisfactory. The management of case files, ensuring that all necessary documentation is submitted in the correct format and language (Arabic), is crucial. The</w:t>
      </w:r>
      <w:r>
        <w:t xml:space="preserve"> </w:t>
      </w:r>
      <w:r>
        <w:rPr>
          <w:bCs/>
          <w:b/>
        </w:rPr>
        <w:t xml:space="preserve">Peer Review Report</w:t>
      </w:r>
      <w:r>
        <w:t xml:space="preserve"> </w:t>
      </w:r>
      <w:r>
        <w:t xml:space="preserve">confirms that the</w:t>
      </w:r>
      <w:r>
        <w:t xml:space="preserve"> </w:t>
      </w:r>
      <w:r>
        <w:rPr>
          <w:bCs/>
          <w:b/>
        </w:rPr>
        <w:t xml:space="preserve">Lawyer</w:t>
      </w:r>
      <w:r>
        <w:t xml:space="preserve"> </w:t>
      </w:r>
      <w:r>
        <w:t xml:space="preserve">has successfully avoided procedural dismissals due to clerical errors, a common pitfall in the busy Baghdad judicial system.</w:t>
      </w:r>
    </w:p>
    <w:bookmarkEnd w:id="22"/>
    <w:bookmarkStart w:id="23" w:name="client-relations-and-communication"/>
    <w:p>
      <w:pPr>
        <w:pStyle w:val="Heading2"/>
      </w:pPr>
      <w:r>
        <w:t xml:space="preserve">4. Client Relations and Communication</w:t>
      </w:r>
    </w:p>
    <w:p>
      <w:pPr>
        <w:pStyle w:val="FirstParagraph"/>
      </w:pPr>
      <w:r>
        <w:t xml:space="preserve">Effective communication is essential for a</w:t>
      </w:r>
      <w:r>
        <w:t xml:space="preserve"> </w:t>
      </w:r>
      <w:r>
        <w:rPr>
          <w:bCs/>
          <w:b/>
        </w:rPr>
        <w:t xml:space="preserve">Lawyer</w:t>
      </w:r>
      <w:r>
        <w:t xml:space="preserve"> </w:t>
      </w:r>
      <w:r>
        <w:t xml:space="preserve">serving clients in</w:t>
      </w:r>
      <w:r>
        <w:t xml:space="preserve"> </w:t>
      </w:r>
      <w:r>
        <w:rPr>
          <w:bCs/>
          <w:b/>
        </w:rPr>
        <w:t xml:space="preserve">Iraq Baghdad</w:t>
      </w:r>
      <w:r>
        <w:t xml:space="preserve">, where legal processes can be lengthy and opaque. This</w:t>
      </w:r>
      <w:r>
        <w:t xml:space="preserve"> </w:t>
      </w:r>
      <w:r>
        <w:rPr>
          <w:bCs/>
          <w:b/>
        </w:rPr>
        <w:t xml:space="preserve">Peer Review Report</w:t>
      </w:r>
      <w:r>
        <w:t xml:space="preserve"> </w:t>
      </w:r>
      <w:r>
        <w:t xml:space="preserve">evaluates how the</w:t>
      </w:r>
      <w:r>
        <w:t xml:space="preserve"> </w:t>
      </w:r>
      <w:r>
        <w:rPr>
          <w:bCs/>
          <w:b/>
        </w:rPr>
        <w:t xml:space="preserve">Lawyer</w:t>
      </w:r>
      <w:r>
        <w:t xml:space="preserve"> </w:t>
      </w:r>
      <w:r>
        <w:t xml:space="preserve">manages client expectations and provides updates.</w:t>
      </w:r>
    </w:p>
    <w:p>
      <w:pPr>
        <w:pStyle w:val="BodyText"/>
      </w:pPr>
      <w:r>
        <w:t xml:space="preserve">Feedback suggests that the</w:t>
      </w:r>
      <w:r>
        <w:t xml:space="preserve"> </w:t>
      </w:r>
      <w:r>
        <w:rPr>
          <w:bCs/>
          <w:b/>
        </w:rPr>
        <w:t xml:space="preserve">Lawyer</w:t>
      </w:r>
      <w:r>
        <w:t xml:space="preserve"> </w:t>
      </w:r>
      <w:r>
        <w:t xml:space="preserve">is diligent in explaining legal concepts in clear terms. However, given the cultural context of</w:t>
      </w:r>
      <w:r>
        <w:t xml:space="preserve"> </w:t>
      </w:r>
      <w:r>
        <w:rPr>
          <w:bCs/>
          <w:b/>
        </w:rPr>
        <w:t xml:space="preserve">Iraq Baghdad</w:t>
      </w:r>
      <w:r>
        <w:t xml:space="preserve">, there is an expectation for a high degree of personal engagement. The review recommends that the</w:t>
      </w:r>
      <w:r>
        <w:t xml:space="preserve"> </w:t>
      </w:r>
      <w:r>
        <w:rPr>
          <w:bCs/>
          <w:b/>
        </w:rPr>
        <w:t xml:space="preserve">Lawyer</w:t>
      </w:r>
      <w:r>
        <w:t xml:space="preserve"> </w:t>
      </w:r>
      <w:r>
        <w:t xml:space="preserve">implement a more structured system for regular client updates, particularly in long-term litigation cases, to ensure transparency and maintain trust.</w:t>
      </w:r>
    </w:p>
    <w:bookmarkEnd w:id="23"/>
    <w:bookmarkStart w:id="24" w:name="X2e3a971ce519929cc74df70108166247bfbb09a"/>
    <w:p>
      <w:pPr>
        <w:pStyle w:val="Heading2"/>
      </w:pPr>
      <w:r>
        <w:t xml:space="preserve">5. Ethical Standards and Professional Integrity</w:t>
      </w:r>
    </w:p>
    <w:p>
      <w:pPr>
        <w:pStyle w:val="FirstParagraph"/>
      </w:pPr>
      <w:r>
        <w:t xml:space="preserve">Adherence to ethical standards is the cornerstone of this</w:t>
      </w:r>
      <w:r>
        <w:t xml:space="preserve"> </w:t>
      </w:r>
      <w:r>
        <w:rPr>
          <w:bCs/>
          <w:b/>
        </w:rPr>
        <w:t xml:space="preserve">Peer Review Report</w:t>
      </w:r>
      <w:r>
        <w:t xml:space="preserve">. The</w:t>
      </w:r>
      <w:r>
        <w:t xml:space="preserve"> </w:t>
      </w:r>
      <w:r>
        <w:rPr>
          <w:bCs/>
          <w:b/>
        </w:rPr>
        <w:t xml:space="preserve">Lawyer</w:t>
      </w:r>
      <w:r>
        <w:t xml:space="preserve"> </w:t>
      </w:r>
      <w:r>
        <w:t xml:space="preserve">is bound by the strict ethical codes of the Iraqi Bar Association. The review found no evidence of conflicts of interest, misappropriation of client funds, or breach of confidentiality.</w:t>
      </w:r>
    </w:p>
    <w:p>
      <w:pPr>
        <w:pStyle w:val="BodyText"/>
      </w:pPr>
      <w:r>
        <w:t xml:space="preserve">In the context of</w:t>
      </w:r>
      <w:r>
        <w:t xml:space="preserve"> </w:t>
      </w:r>
      <w:r>
        <w:rPr>
          <w:bCs/>
          <w:b/>
        </w:rPr>
        <w:t xml:space="preserve">Iraq Baghdad</w:t>
      </w:r>
      <w:r>
        <w:t xml:space="preserve">, where informal pressures can sometimes influence legal proceedings, the</w:t>
      </w:r>
      <w:r>
        <w:t xml:space="preserve"> </w:t>
      </w:r>
      <w:r>
        <w:rPr>
          <w:bCs/>
          <w:b/>
        </w:rPr>
        <w:t xml:space="preserve">Lawyer</w:t>
      </w:r>
      <w:r>
        <w:t xml:space="preserve">’s commitment to integrity is commendable. The</w:t>
      </w:r>
      <w:r>
        <w:t xml:space="preserve"> </w:t>
      </w:r>
      <w:r>
        <w:rPr>
          <w:bCs/>
          <w:b/>
        </w:rPr>
        <w:t xml:space="preserve">Peer Review Report</w:t>
      </w:r>
      <w:r>
        <w:t xml:space="preserve"> </w:t>
      </w:r>
      <w:r>
        <w:t xml:space="preserve">highlights the</w:t>
      </w:r>
      <w:r>
        <w:t xml:space="preserve"> </w:t>
      </w:r>
      <w:r>
        <w:rPr>
          <w:bCs/>
          <w:b/>
        </w:rPr>
        <w:t xml:space="preserve">Lawyer</w:t>
      </w:r>
      <w:r>
        <w:t xml:space="preserve">’s refusal to engage in improper influence peddling, thereby upholding the reputation of the legal profession in the capital.</w:t>
      </w:r>
    </w:p>
    <w:bookmarkEnd w:id="24"/>
    <w:bookmarkStart w:id="25"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subject</w:t>
      </w:r>
      <w:r>
        <w:t xml:space="preserve"> </w:t>
      </w:r>
      <w:r>
        <w:rPr>
          <w:bCs/>
          <w:b/>
        </w:rPr>
        <w:t xml:space="preserve">Lawyer</w:t>
      </w:r>
      <w:r>
        <w:t xml:space="preserve"> </w:t>
      </w:r>
      <w:r>
        <w:t xml:space="preserve">is deemed competent and ethical in their practice within</w:t>
      </w:r>
      <w:r>
        <w:t xml:space="preserve"> </w:t>
      </w:r>
      <w:r>
        <w:rPr>
          <w:bCs/>
          <w:b/>
        </w:rPr>
        <w:t xml:space="preserve">Iraq Baghdad</w:t>
      </w:r>
      <w:r>
        <w:t xml:space="preserve">. However, to further enhance their professional standing, the following recommendations are made:</w:t>
      </w:r>
    </w:p>
    <w:p>
      <w:pPr>
        <w:numPr>
          <w:ilvl w:val="0"/>
          <w:numId w:val="1001"/>
        </w:numPr>
        <w:pStyle w:val="Compact"/>
      </w:pPr>
      <w:r>
        <w:rPr>
          <w:bCs/>
          <w:b/>
        </w:rPr>
        <w:t xml:space="preserve">Continuing Legal Education:</w:t>
      </w:r>
      <w:r>
        <w:t xml:space="preserve"> </w:t>
      </w:r>
      <w:r>
        <w:t xml:space="preserve">The</w:t>
      </w:r>
      <w:r>
        <w:t xml:space="preserve"> </w:t>
      </w:r>
      <w:r>
        <w:rPr>
          <w:bCs/>
          <w:b/>
        </w:rPr>
        <w:t xml:space="preserve">Lawyer</w:t>
      </w:r>
      <w:r>
        <w:t xml:space="preserve"> </w:t>
      </w:r>
      <w:r>
        <w:t xml:space="preserve">should actively participate in seminars organized by the Baghdad Bar Association to stay updated on new legislation.</w:t>
      </w:r>
    </w:p>
    <w:p>
      <w:pPr>
        <w:numPr>
          <w:ilvl w:val="0"/>
          <w:numId w:val="1001"/>
        </w:numPr>
        <w:pStyle w:val="Compact"/>
      </w:pPr>
      <w:r>
        <w:rPr>
          <w:bCs/>
          <w:b/>
        </w:rPr>
        <w:t xml:space="preserve">Case Management Systems:</w:t>
      </w:r>
      <w:r>
        <w:t xml:space="preserve"> </w:t>
      </w:r>
      <w:r>
        <w:t xml:space="preserve">Adoption of digital tools to track case progress in the Baghdad courts would improve efficiency.</w:t>
      </w:r>
    </w:p>
    <w:p>
      <w:pPr>
        <w:numPr>
          <w:ilvl w:val="0"/>
          <w:numId w:val="1001"/>
        </w:numPr>
        <w:pStyle w:val="Compact"/>
      </w:pPr>
      <w:r>
        <w:rPr>
          <w:bCs/>
          <w:b/>
        </w:rPr>
        <w:t xml:space="preserve">Client Communication:</w:t>
      </w:r>
      <w:r>
        <w:t xml:space="preserve"> </w:t>
      </w:r>
      <w:r>
        <w:t xml:space="preserve">Establishing a formal protocol for monthly client reports would improve service quality.</w:t>
      </w:r>
    </w:p>
    <w:p>
      <w:pPr>
        <w:pStyle w:val="FirstParagraph"/>
      </w:pPr>
      <w:r>
        <w:rPr>
          <w:bCs/>
          <w:b/>
        </w:rPr>
        <w:t xml:space="preserve">Final Determination:</w:t>
      </w:r>
      <w:r>
        <w:t xml:space="preserve"> </w:t>
      </w:r>
      <w:r>
        <w:t xml:space="preserve">The</w:t>
      </w:r>
      <w:r>
        <w:t xml:space="preserve"> </w:t>
      </w:r>
      <w:r>
        <w:rPr>
          <w:bCs/>
          <w:b/>
        </w:rPr>
        <w:t xml:space="preserve">Peer Review Report</w:t>
      </w:r>
      <w:r>
        <w:t xml:space="preserve"> </w:t>
      </w:r>
      <w:r>
        <w:t xml:space="preserve">concludes that the</w:t>
      </w:r>
      <w:r>
        <w:t xml:space="preserve"> </w:t>
      </w:r>
      <w:r>
        <w:rPr>
          <w:bCs/>
          <w:b/>
        </w:rPr>
        <w:t xml:space="preserve">Lawyer</w:t>
      </w:r>
      <w:r>
        <w:t xml:space="preserve"> </w:t>
      </w:r>
      <w:r>
        <w:t xml:space="preserve">meets the professional standards required for practice in</w:t>
      </w:r>
      <w:r>
        <w:t xml:space="preserve"> </w:t>
      </w:r>
      <w:r>
        <w:rPr>
          <w:bCs/>
          <w:b/>
        </w:rPr>
        <w:t xml:space="preserve">Iraq Baghdad</w:t>
      </w:r>
      <w:r>
        <w:t xml:space="preserve">. The review board recommends continued practice with the implementation of the suggested improvements.</w:t>
      </w:r>
    </w:p>
    <w:p>
      <w:pPr>
        <w:pStyle w:val="BodyText"/>
      </w:pPr>
      <w:r>
        <w:rPr>
          <w:bCs/>
          <w:b/>
        </w:rPr>
        <w:t xml:space="preserve">Prepared by:</w:t>
      </w:r>
      <w:r>
        <w:br/>
      </w:r>
      <w:r>
        <w:t xml:space="preserve">Senior Review Committee</w:t>
      </w:r>
      <w:r>
        <w:br/>
      </w:r>
      <w:r>
        <w:t xml:space="preserve">Baghdad Bar Association</w:t>
      </w:r>
      <w:r>
        <w:br/>
      </w:r>
      <w:r>
        <w:rPr>
          <w:bCs/>
          <w:b/>
        </w:rPr>
        <w:t xml:space="preserve">Date:</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Iraq Baghdad</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