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Standards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5a38df8160663ec2e9fed8f94130875d959bbf0"/>
    <w:p>
      <w:pPr>
        <w:pStyle w:val="Heading1"/>
      </w:pPr>
      <w:r>
        <w:t xml:space="preserve">Peer Review Report: Professional Competence and Ethical Standards</w:t>
      </w:r>
    </w:p>
    <w:p>
      <w:pPr>
        <w:pStyle w:val="FirstParagraph"/>
      </w:pPr>
      <w:r>
        <w:rPr>
          <w:bCs/>
          <w:b/>
        </w:rPr>
        <w:t xml:space="preserve">Subject:</w:t>
      </w:r>
      <w:r>
        <w:t xml:space="preserve"> </w:t>
      </w:r>
      <w:r>
        <w:t xml:space="preserve">Evaluation of Legal Practice Standards</w:t>
      </w:r>
      <w:r>
        <w:br/>
      </w:r>
      <w:r>
        <w:rPr>
          <w:bCs/>
          <w:b/>
        </w:rPr>
        <w:t xml:space="preserve">Role:</w:t>
      </w:r>
      <w:r>
        <w:t xml:space="preserve"> </w:t>
      </w:r>
      <w:r>
        <w:t xml:space="preserve">Lawyer</w:t>
      </w:r>
      <w:r>
        <w:br/>
      </w:r>
      <w:r>
        <w:rPr>
          <w:bCs/>
          <w:b/>
        </w:rPr>
        <w:t xml:space="preserve">Jurisdiction:</w:t>
      </w:r>
      <w:r>
        <w:t xml:space="preserve"> </w:t>
      </w:r>
      <w:r>
        <w:t xml:space="preserve">Israel Tel Aviv</w:t>
      </w:r>
    </w:p>
    <w:p>
      <w:pPr>
        <w:pStyle w:val="BodyText"/>
      </w:pPr>
      <w:r>
        <w:rPr>
          <w:bCs/>
          <w:b/>
        </w:rPr>
        <w:t xml:space="preserve">Date:</w:t>
      </w:r>
      <w:r>
        <w:t xml:space="preserve"> </w:t>
      </w:r>
      <w:r>
        <w:t xml:space="preserve">October 24, 2023</w:t>
      </w:r>
      <w:r>
        <w:br/>
      </w:r>
      <w:r>
        <w:rPr>
          <w:bCs/>
          <w:b/>
        </w:rPr>
        <w:t xml:space="preserve">Review Type:</w:t>
      </w:r>
      <w:r>
        <w:t xml:space="preserve"> </w:t>
      </w:r>
      <w:r>
        <w:t xml:space="preserve">Comprehensive Peer Assessment</w:t>
      </w:r>
      <w:r>
        <w:br/>
      </w:r>
      <w:r>
        <w:rPr>
          <w:bCs/>
          <w:b/>
        </w:rPr>
        <w:t xml:space="preserve">Reference ID:</w:t>
      </w:r>
      <w:r>
        <w:t xml:space="preserve"> </w:t>
      </w:r>
      <w:r>
        <w:t xml:space="preserve">TLV-LAW-2023-089</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operational efficiency, and ethical compliance of a practicing Lawyer within the dynamic legal ecosystem of Israel Tel Aviv. As the commercial and technological hub of the nation, Tel Aviv presents unique challenges and opportunities for legal practitioners. This report assesses the subject's ability to navigate the complex intersection of Israeli statutory law, common law influences, and the specific regulatory environment of the Tel Aviv District Court and local Bar Association.</w:t>
      </w:r>
    </w:p>
    <w:p>
      <w:pPr>
        <w:pStyle w:val="BodyText"/>
      </w:pPr>
      <w:r>
        <w:t xml:space="preserve">The review focuses on four critical pillars: substantive legal knowledge, client advocacy, ethical adherence, and procedural management. The findings indicate a high level of proficiency, though specific areas regarding cross-border litigation and digital compliance require attention to maintain leadership in the Tel Aviv market.</w:t>
      </w:r>
    </w:p>
    <w:bookmarkEnd w:id="20"/>
    <w:bookmarkStart w:id="21" w:name="X2f39f02587de16874ae30af83d472e3c73e17f4"/>
    <w:p>
      <w:pPr>
        <w:pStyle w:val="Heading2"/>
      </w:pPr>
      <w:r>
        <w:t xml:space="preserve">2. Contextual Analysis: The Israel Tel Aviv Legal Landscape</w:t>
      </w:r>
    </w:p>
    <w:p>
      <w:pPr>
        <w:pStyle w:val="FirstParagraph"/>
      </w:pPr>
      <w:r>
        <w:t xml:space="preserve">To accurately assess a Lawyer in this region, one must understand the environment. Israel Tel Aviv is not merely a geographic location; it is a jurisdiction characterized by rapid innovation, high-volume commercial disputes, and a sophisticated regulatory framework. The legal practitioner here is expected to possess a dual competency: a deep understanding of traditional Israeli civil and criminal law, and the agility to handle modern issues such as fintech regulation, intellectual property in the tech sector, and international arbitration.</w:t>
      </w:r>
    </w:p>
    <w:p>
      <w:pPr>
        <w:pStyle w:val="BodyText"/>
      </w:pPr>
      <w:r>
        <w:t xml:space="preserve">The Bar Association of Israel maintains rigorous standards, and the courts in Tel Aviv are known for their efficiency and strict adherence to procedural rules. A Peer Review in this context is not just a formality; it is a vital mechanism to ensure that the Lawyer remains aligned with the expectations of the Tel Aviv legal community and the clients who rely on them for high-stakes matters.</w:t>
      </w:r>
    </w:p>
    <w:bookmarkEnd w:id="21"/>
    <w:bookmarkStart w:id="23" w:name="X2585368d88dfb0e3f837803aed84ea4f253632c"/>
    <w:p>
      <w:pPr>
        <w:pStyle w:val="Heading2"/>
      </w:pPr>
      <w:r>
        <w:t xml:space="preserve">3. Assessment of Substantive Legal Knowledge</w:t>
      </w:r>
    </w:p>
    <w:bookmarkStart w:id="22" w:name="rating-excellent"/>
    <w:p>
      <w:pPr>
        <w:pStyle w:val="Heading3"/>
      </w:pPr>
      <w:r>
        <w:t xml:space="preserve">Rating: Excellent</w:t>
      </w:r>
    </w:p>
    <w:p>
      <w:pPr>
        <w:pStyle w:val="FirstParagraph"/>
      </w:pPr>
      <w:r>
        <w:t xml:space="preserve">The subject demonstrates a robust command of the relevant legal statutes.</w:t>
      </w:r>
    </w:p>
    <w:bookmarkEnd w:id="22"/>
    <w:p>
      <w:pPr>
        <w:pStyle w:val="BodyText"/>
      </w:pPr>
      <w:r>
        <w:t xml:space="preserve">The review panel examined a sample of case files and legal opinions drafted by the Lawyer. The analysis reveals a sophisticated grasp of the Israeli Civil Code and the Companies Law. Specifically, the Lawyer’s ability to interpret case law from the Supreme Court of Israel and apply it to lower court proceedings in Tel Aviv is commendable.</w:t>
      </w:r>
    </w:p>
    <w:p>
      <w:pPr>
        <w:pStyle w:val="BodyText"/>
      </w:pPr>
      <w:r>
        <w:t xml:space="preserve">Furthermore, the subject shows strong competence in contract law, which is essential for the business-centric environment of Tel Aviv. The drafting of agreements is precise, minimizing ambiguity and protecting client interests effectively. However, the review notes that while domestic law is handled expertly, there is a need for deeper specialization in international trade law to better serve the multinational clients prevalent in the Tel Aviv area.</w:t>
      </w:r>
    </w:p>
    <w:bookmarkEnd w:id="23"/>
    <w:bookmarkStart w:id="24" w:name="client-advocacy-and-communication"/>
    <w:p>
      <w:pPr>
        <w:pStyle w:val="Heading2"/>
      </w:pPr>
      <w:r>
        <w:t xml:space="preserve">4. Client Advocacy and Communication</w:t>
      </w:r>
    </w:p>
    <w:p>
      <w:pPr>
        <w:pStyle w:val="FirstParagraph"/>
      </w:pPr>
      <w:r>
        <w:t xml:space="preserve">Effective advocacy is the cornerstone of the Lawyer’s role. In the fast-paced environment of Israel Tel Aviv, clients expect responsiveness and clarity. This Peer Review Report evaluates the subject’s communication strategies based on feedback from peers and anonymized client surveys.</w:t>
      </w:r>
    </w:p>
    <w:p>
      <w:pPr>
        <w:pStyle w:val="BodyText"/>
      </w:pPr>
      <w:r>
        <w:t xml:space="preserve">The Lawyer is rated highly for courtroom demeanor. Observations from proceedings at the Tel Aviv District Court indicate that the subject presents arguments logically, respects judicial authority, and effectively cross-examines witnesses. This professional conduct enhances the credibility of the legal representation.</w:t>
      </w:r>
    </w:p>
    <w:p>
      <w:pPr>
        <w:pStyle w:val="BodyText"/>
      </w:pPr>
      <w:r>
        <w:t xml:space="preserve">Regarding client communication, the subject excels in translating complex legal jargon into actionable business advice. This is particularly important in Tel Aviv, where clients often operate in high-pressure industries. The Lawyer ensures that clients are informed of procedural developments in a timely manner, fostering trust and transparency.</w:t>
      </w:r>
    </w:p>
    <w:bookmarkEnd w:id="24"/>
    <w:bookmarkStart w:id="25" w:name="X6791cc610dabdca2d7729e72f17608ce3805386"/>
    <w:p>
      <w:pPr>
        <w:pStyle w:val="Heading2"/>
      </w:pPr>
      <w:r>
        <w:t xml:space="preserve">5. Ethical Compliance and Professional Conduct</w:t>
      </w:r>
    </w:p>
    <w:p>
      <w:pPr>
        <w:pStyle w:val="FirstParagraph"/>
      </w:pPr>
      <w:r>
        <w:t xml:space="preserve">Adherence to the Code of Ethics for Advocates is non-negotiable. This section of the report scrutinizes the Lawyer’s compliance with ethical standards set by the Bar Association of Israel.</w:t>
      </w:r>
    </w:p>
    <w:p>
      <w:pPr>
        <w:pStyle w:val="BodyText"/>
      </w:pPr>
      <w:r>
        <w:t xml:space="preserve">The review found no instances of ethical violations. The Lawyer demonstrates a strong commitment to confidentiality, conflict of interest management, and fee transparency. In the competitive market of Tel Aviv, where conflicts can arise frequently due to the concentration of major firms and clients, the subject’s diligence in screening for conflicts is exemplary.</w:t>
      </w:r>
    </w:p>
    <w:p>
      <w:pPr>
        <w:pStyle w:val="BodyText"/>
      </w:pPr>
      <w:r>
        <w:t xml:space="preserve">Additionally, the Lawyer maintains a respectful relationship with opposing counsel and court staff, contributing to a professional atmosphere. This conduct not only upholds the integrity of the legal profession but also facilitates smoother negotiations and settlements.</w:t>
      </w:r>
    </w:p>
    <w:bookmarkEnd w:id="25"/>
    <w:bookmarkStart w:id="26" w:name="procedural-management-and-efficiency"/>
    <w:p>
      <w:pPr>
        <w:pStyle w:val="Heading2"/>
      </w:pPr>
      <w:r>
        <w:t xml:space="preserve">6. Procedural Management and Efficiency</w:t>
      </w:r>
    </w:p>
    <w:p>
      <w:pPr>
        <w:pStyle w:val="FirstParagraph"/>
      </w:pPr>
      <w:r>
        <w:t xml:space="preserve">The efficiency of a Lawyer is measured by their ability to manage caseloads, meet deadlines, and utilize legal technology. Given the technological sophistication of Israel Tel Aviv, the expectation for digital proficiency is high.</w:t>
      </w:r>
    </w:p>
    <w:p>
      <w:pPr>
        <w:pStyle w:val="BodyText"/>
      </w:pPr>
      <w:r>
        <w:t xml:space="preserve">The subject utilizes modern case management software effectively, ensuring that no filing deadlines are missed. The organization of case files is systematic, allowing for quick retrieval of documents during litigation. However, the Peer Review Report recommends further investment in legal tech tools for document automation and e-discovery to enhance efficiency further.</w:t>
      </w:r>
    </w:p>
    <w:p>
      <w:pPr>
        <w:pStyle w:val="BodyText"/>
      </w:pPr>
      <w:r>
        <w:t xml:space="preserve">Time management is another area of strength. The Lawyer balances multiple cases without compromising the quality of work, a critical skill in a jurisdiction where court schedules can be demanding.</w:t>
      </w:r>
    </w:p>
    <w:bookmarkEnd w:id="26"/>
    <w:bookmarkStart w:id="27" w:name="recommendations-for-improvement"/>
    <w:p>
      <w:pPr>
        <w:pStyle w:val="Heading2"/>
      </w:pPr>
      <w:r>
        <w:t xml:space="preserve">7. Recommendations for Improvement</w:t>
      </w:r>
    </w:p>
    <w:p>
      <w:pPr>
        <w:pStyle w:val="FirstParagraph"/>
      </w:pPr>
      <w:r>
        <w:t xml:space="preserve">While the overall assessment is positive, this Peer Review Report identifies areas for growth to ensure the Lawyer remains at the forefront of the Israel Tel Aviv legal market:</w:t>
      </w:r>
    </w:p>
    <w:p>
      <w:pPr>
        <w:numPr>
          <w:ilvl w:val="0"/>
          <w:numId w:val="1001"/>
        </w:numPr>
        <w:pStyle w:val="Compact"/>
      </w:pPr>
      <w:r>
        <w:rPr>
          <w:bCs/>
          <w:b/>
        </w:rPr>
        <w:t xml:space="preserve">International Law Specialization:</w:t>
      </w:r>
      <w:r>
        <w:t xml:space="preserve"> </w:t>
      </w:r>
      <w:r>
        <w:t xml:space="preserve">Pursue additional training in international arbitration and cross-border transactions to better serve the global clientele in Tel Aviv.</w:t>
      </w:r>
    </w:p>
    <w:p>
      <w:pPr>
        <w:numPr>
          <w:ilvl w:val="0"/>
          <w:numId w:val="1001"/>
        </w:numPr>
        <w:pStyle w:val="Compact"/>
      </w:pPr>
      <w:r>
        <w:rPr>
          <w:bCs/>
          <w:b/>
        </w:rPr>
        <w:t xml:space="preserve">Technology Integration:</w:t>
      </w:r>
      <w:r>
        <w:t xml:space="preserve"> </w:t>
      </w:r>
      <w:r>
        <w:t xml:space="preserve">Adopt advanced AI-driven legal research tools to improve the speed and accuracy of legal analysis.</w:t>
      </w:r>
    </w:p>
    <w:p>
      <w:pPr>
        <w:numPr>
          <w:ilvl w:val="0"/>
          <w:numId w:val="1001"/>
        </w:numPr>
        <w:pStyle w:val="Compact"/>
      </w:pPr>
      <w:r>
        <w:rPr>
          <w:bCs/>
          <w:b/>
        </w:rPr>
        <w:t xml:space="preserve">Pro Bono Engagement:</w:t>
      </w:r>
      <w:r>
        <w:t xml:space="preserve"> </w:t>
      </w:r>
      <w:r>
        <w:t xml:space="preserve">Increase involvement in pro bono initiatives supported by the Tel Aviv Bar Association to strengthen community ties and professional reputation.</w:t>
      </w:r>
    </w:p>
    <w:bookmarkEnd w:id="27"/>
    <w:bookmarkStart w:id="28" w:name="conclusion"/>
    <w:p>
      <w:pPr>
        <w:pStyle w:val="Heading2"/>
      </w:pPr>
      <w:r>
        <w:t xml:space="preserve">8. Conclusion</w:t>
      </w:r>
    </w:p>
    <w:p>
      <w:pPr>
        <w:pStyle w:val="FirstParagraph"/>
      </w:pPr>
      <w:r>
        <w:t xml:space="preserve">In conclusion, this Peer Review Report affirms that the subject is a competent, ethical, and effective Lawyer operating within the Israel Tel Aviv jurisdiction. The subject’s strong legal knowledge, combined with excellent advocacy skills and adherence to professional standards, makes them a valuable asset to the legal community. By addressing the recommendations outlined in this report, the Lawyer can further enhance their practice and continue to deliver exceptional service to clients in one of the world’s most dynamic legal environments.</w:t>
      </w:r>
    </w:p>
    <w:p>
      <w:pPr>
        <w:pStyle w:val="BodyText"/>
      </w:pPr>
      <w:r>
        <w:rPr>
          <w:bCs/>
          <w:b/>
        </w:rPr>
        <w:t xml:space="preserve">Prepared by:</w:t>
      </w:r>
      <w:r>
        <w:br/>
      </w:r>
      <w:r>
        <w:t xml:space="preserve">Senior Peer Review Committee</w:t>
      </w:r>
      <w:r>
        <w:br/>
      </w:r>
      <w:r>
        <w:t xml:space="preserve">Tel Aviv Legal Standards Board</w:t>
      </w:r>
    </w:p>
    <w:p>
      <w:pPr>
        <w:pStyle w:val="BodyText"/>
      </w:pPr>
      <w:r>
        <w:rPr>
          <w:iCs/>
          <w:i/>
        </w:rPr>
        <w:t xml:space="preserve">This document is confidential and intended solely for the use of the addressee.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Standards in Israel Tel Aviv</dc:title>
  <dc:creator/>
  <dc:language>en</dc:language>
  <cp:keywords/>
  <dcterms:created xsi:type="dcterms:W3CDTF">2026-10-10T03:54:55Z</dcterms:created>
  <dcterms:modified xsi:type="dcterms:W3CDTF">2026-10-10T03:54:55Z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