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Italy</w:t>
      </w:r>
      <w:r>
        <w:t xml:space="preserve"> </w:t>
      </w:r>
      <w:r>
        <w:t xml:space="preserve">Milan</w:t>
      </w:r>
    </w:p>
    <w:bookmarkStart w:id="29" w:name="Xf51d0f9996e215aca7b4dff2ac74ee903af7ac1"/>
    <w:p>
      <w:pPr>
        <w:pStyle w:val="Heading1"/>
      </w:pPr>
      <w:r>
        <w:t xml:space="preserve">Peer Review Report: Professional Legal Practice Standards</w:t>
      </w:r>
    </w:p>
    <w:p>
      <w:pPr>
        <w:pStyle w:val="FirstParagraph"/>
      </w:pPr>
      <w:r>
        <w:rPr>
          <w:bCs/>
          <w:b/>
        </w:rPr>
        <w:t xml:space="preserve">Subject:</w:t>
      </w:r>
      <w:r>
        <w:t xml:space="preserve"> </w:t>
      </w:r>
      <w:r>
        <w:t xml:space="preserve">Comprehensive Evaluation of Legal Services and Professional Conduct</w:t>
      </w:r>
    </w:p>
    <w:p>
      <w:pPr>
        <w:pStyle w:val="BodyText"/>
      </w:pPr>
      <w:r>
        <w:rPr>
          <w:bCs/>
          <w:b/>
        </w:rPr>
        <w:t xml:space="preserve">Role:</w:t>
      </w:r>
      <w:r>
        <w:t xml:space="preserve"> </w:t>
      </w:r>
      <w:r>
        <w:t xml:space="preserve">Lawyer</w:t>
      </w:r>
    </w:p>
    <w:p>
      <w:pPr>
        <w:pStyle w:val="BodyText"/>
      </w:pPr>
      <w:r>
        <w:rPr>
          <w:bCs/>
          <w:b/>
        </w:rPr>
        <w:t xml:space="preserve">Jurisdiction:</w:t>
      </w:r>
      <w:r>
        <w:t xml:space="preserve"> </w:t>
      </w:r>
      <w:r>
        <w:t xml:space="preserve">Italy Milan (Milano)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Independent Peer Assessment</w:t>
      </w:r>
    </w:p>
    <w:bookmarkStart w:id="20" w:name="executive-summary"/>
    <w:p>
      <w:pPr>
        <w:pStyle w:val="Heading2"/>
      </w:pPr>
      <w:r>
        <w:t xml:space="preserve">1. Executive Summary</w:t>
      </w:r>
    </w:p>
    <w:p>
      <w:pPr>
        <w:pStyle w:val="FirstParagraph"/>
      </w:pPr>
      <w:r>
        <w:t xml:space="preserve">This Peer Review Report has been commissioned to evaluate the professional standards, ethical compliance, and operational efficacy of a practicing Lawyer within the jurisdiction of Italy Milan. As the financial and industrial capital of Italy, Milan presents a unique legal landscape characterized by high-stakes corporate litigation, complex international arbitration, and a rapidly evolving regulatory environment. This report assesses the subject's ability to navigate the specific demands of the Milanese legal market while adhering to the rigorous standards set forth by the Consiglio Nazionale Forense (CNF) and the local Ordine degli Avvocati di Milano.</w:t>
      </w:r>
    </w:p>
    <w:p>
      <w:pPr>
        <w:pStyle w:val="BodyText"/>
      </w:pPr>
      <w:r>
        <w:t xml:space="preserve">The review focuses on four critical pillars: technical legal competence, client relationship management, ethical adherence, and contribution to the local legal community. The findings indicate a high level of proficiency, though specific areas regarding cross-border regulatory alignment require ongoing attention.</w:t>
      </w:r>
    </w:p>
    <w:bookmarkEnd w:id="20"/>
    <w:bookmarkStart w:id="21" w:name="Xb780cfb6f375e901500fda10b6388a43904b659"/>
    <w:p>
      <w:pPr>
        <w:pStyle w:val="Heading2"/>
      </w:pPr>
      <w:r>
        <w:t xml:space="preserve">2. Contextual Analysis: The Milanese Legal Environment</w:t>
      </w:r>
    </w:p>
    <w:p>
      <w:pPr>
        <w:pStyle w:val="FirstParagraph"/>
      </w:pPr>
      <w:r>
        <w:t xml:space="preserve">To accurately review a Lawyer in Italy Milan, one must understand the distinct pressures of this jurisdiction. Milan is not merely a provincial hub; it is a global node for commerce. Consequently, the legal practitioner here is expected to possess a dual competency: a deep mastery of Italian civil law (Diritto Civile) and a sophisticated understanding of international commercial norms.</w:t>
      </w:r>
    </w:p>
    <w:p>
      <w:pPr>
        <w:pStyle w:val="BodyText"/>
      </w:pPr>
      <w:r>
        <w:t xml:space="preserve">The review process examined how the subject integrates local procedural rules with the demands of multinational clients. In Milan, the pace of litigation and transactional work is significantly faster than in other Italian regions. The Lawyer under review demonstrated an appropriate adaptation to this tempo, ensuring that filings with the Tribunale di Milano are timely and that negotiations are conducted with the assertiveness expected in this competitive market.</w:t>
      </w:r>
    </w:p>
    <w:bookmarkEnd w:id="21"/>
    <w:bookmarkStart w:id="24" w:name="technical-competence-and-legal-acumen"/>
    <w:p>
      <w:pPr>
        <w:pStyle w:val="Heading2"/>
      </w:pPr>
      <w:r>
        <w:t xml:space="preserve">3. Technical Competence and Legal Acumen</w:t>
      </w:r>
    </w:p>
    <w:p>
      <w:pPr>
        <w:pStyle w:val="FirstParagraph"/>
      </w:pPr>
      <w:r>
        <w:t xml:space="preserve">The core of this Peer Review Report is the assessment of the Lawyer's technical skills. The evaluation included a random sampling of case files, including corporate restructuring documents, civil litigation briefs, and contract drafts.</w:t>
      </w:r>
    </w:p>
    <w:bookmarkStart w:id="22" w:name="drafting-and-documentation"/>
    <w:p>
      <w:pPr>
        <w:pStyle w:val="Heading3"/>
      </w:pPr>
      <w:r>
        <w:t xml:space="preserve">3.1. Drafting and Documentation</w:t>
      </w:r>
    </w:p>
    <w:p>
      <w:pPr>
        <w:pStyle w:val="FirstParagraph"/>
      </w:pPr>
      <w:r>
        <w:t xml:space="preserve">The quality of legal drafting was found to be exemplary. The Lawyer exhibits a precise command of legal terminology in Italian, ensuring that documents are robust against judicial scrutiny. Furthermore, given the international nature of Milan's economy, the subject's ability to draft bilingual contracts (Italian/English) was assessed. The translations were legally accurate, avoiding the common pitfalls of literal translation that can lead to ambiguity in cross-border disputes.</w:t>
      </w:r>
    </w:p>
    <w:bookmarkEnd w:id="22"/>
    <w:bookmarkStart w:id="23" w:name="litigation-strategy"/>
    <w:p>
      <w:pPr>
        <w:pStyle w:val="Heading3"/>
      </w:pPr>
      <w:r>
        <w:t xml:space="preserve">3.2. Litigation Strategy</w:t>
      </w:r>
    </w:p>
    <w:p>
      <w:pPr>
        <w:pStyle w:val="FirstParagraph"/>
      </w:pPr>
      <w:r>
        <w:t xml:space="preserve">In the context of civil and commercial litigation in Milan, the Lawyer demonstrated strategic foresight. The review of court submissions revealed a logical structure and strong evidentiary support. The subject shows a clear understanding of the procedural nuances of the Italian judicial system, particularly regarding the management of evidence and the timing of interlocutory motions.</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the Code of Professional Conduct (Codice Deontologico Forense) is non-negotiable. This section of the report scrutinizes the Lawyer's conduct regarding conflicts of interest, confidentiality, and fee transparency.</w:t>
      </w:r>
    </w:p>
    <w:p>
      <w:pPr>
        <w:pStyle w:val="BodyText"/>
      </w:pPr>
      <w:r>
        <w:t xml:space="preserve">The review found no instances of ethical breaches. The Lawyer maintains rigorous conflict checks, which is particularly vital in Milan where the network of corporate entities is dense and interconnected. Client confidentiality protocols are strictly observed, with secure data management practices that exceed the minimum requirements of the GDPR (General Data Protection Regulation), which is strictly enforced in Italy.</w:t>
      </w:r>
    </w:p>
    <w:p>
      <w:pPr>
        <w:pStyle w:val="BodyText"/>
      </w:pPr>
      <w:r>
        <w:t xml:space="preserve">Furthermore, the fee structures presented to clients were transparent and aligned with the guidelines of the Milan Bar Association. There is a clear commitment to value-based billing rather than opaque hourly accumulation, fostering trust with the client base.</w:t>
      </w:r>
    </w:p>
    <w:bookmarkEnd w:id="25"/>
    <w:bookmarkStart w:id="26" w:name="client-relations-and-communication"/>
    <w:p>
      <w:pPr>
        <w:pStyle w:val="Heading2"/>
      </w:pPr>
      <w:r>
        <w:t xml:space="preserve">5. Client Relations and Communication</w:t>
      </w:r>
    </w:p>
    <w:p>
      <w:pPr>
        <w:pStyle w:val="FirstParagraph"/>
      </w:pPr>
      <w:r>
        <w:t xml:space="preserve">A Lawyer in Italy Milan serves a diverse clientele, ranging from historic family-owned enterprises to modern tech startups. This Peer Review Report evaluated the subject's ability to communicate effectively across these different demographics.</w:t>
      </w:r>
    </w:p>
    <w:p>
      <w:pPr>
        <w:pStyle w:val="BodyText"/>
      </w:pPr>
      <w:r>
        <w:t xml:space="preserve">Feedback from client interactions suggests that the Lawyer is responsive and accessible. In the fast-paced environment of Milan, delays in communication can be detrimental. The subject ensures that clients are kept informed of procedural developments in a timely manner. Moreover, the Lawyer demonstrates cultural intelligence, adapting their communication style to suit both traditional Italian business customs and the more direct styles preferred by international partners.</w:t>
      </w:r>
    </w:p>
    <w:bookmarkEnd w:id="26"/>
    <w:bookmarkStart w:id="27" w:name="recommendations-for-improvement"/>
    <w:p>
      <w:pPr>
        <w:pStyle w:val="Heading2"/>
      </w:pPr>
      <w:r>
        <w:t xml:space="preserve">6. Recommendations for Improvement</w:t>
      </w:r>
    </w:p>
    <w:p>
      <w:pPr>
        <w:pStyle w:val="FirstParagraph"/>
      </w:pPr>
      <w:r>
        <w:t xml:space="preserve">While the overall assessment is positive, this report identifies areas for continued professional development:</w:t>
      </w:r>
    </w:p>
    <w:p>
      <w:pPr>
        <w:numPr>
          <w:ilvl w:val="0"/>
          <w:numId w:val="1001"/>
        </w:numPr>
        <w:pStyle w:val="Compact"/>
      </w:pPr>
      <w:r>
        <w:rPr>
          <w:bCs/>
          <w:b/>
        </w:rPr>
        <w:t xml:space="preserve">Technological Integration:</w:t>
      </w:r>
      <w:r>
        <w:t xml:space="preserve"> </w:t>
      </w:r>
      <w:r>
        <w:t xml:space="preserve">While competent, the Lawyer could further leverage legal tech tools for document review and case management to increase efficiency in high-volume periods.</w:t>
      </w:r>
    </w:p>
    <w:p>
      <w:pPr>
        <w:numPr>
          <w:ilvl w:val="0"/>
          <w:numId w:val="1001"/>
        </w:numPr>
        <w:pStyle w:val="Compact"/>
      </w:pPr>
      <w:r>
        <w:rPr>
          <w:bCs/>
          <w:b/>
        </w:rPr>
        <w:t xml:space="preserve">International Arbitration:</w:t>
      </w:r>
      <w:r>
        <w:t xml:space="preserve"> </w:t>
      </w:r>
      <w:r>
        <w:t xml:space="preserve">Given Milan's growing status as a hub for arbitration, expanding expertise in the rules of the Milan Chamber of Arbitration (CAM) would be beneficial.</w:t>
      </w:r>
    </w:p>
    <w:p>
      <w:pPr>
        <w:numPr>
          <w:ilvl w:val="0"/>
          <w:numId w:val="1001"/>
        </w:numPr>
        <w:pStyle w:val="Compact"/>
      </w:pPr>
      <w:r>
        <w:rPr>
          <w:bCs/>
          <w:b/>
        </w:rPr>
        <w:t xml:space="preserve">Pro Bono Engagement:</w:t>
      </w:r>
      <w:r>
        <w:t xml:space="preserve"> </w:t>
      </w:r>
      <w:r>
        <w:t xml:space="preserve">Increasing visibility through pro bono work in the Milan community would further enhance the Lawyer's professional standing and social responsibility profile.</w:t>
      </w:r>
    </w:p>
    <w:bookmarkEnd w:id="27"/>
    <w:bookmarkStart w:id="28" w:name="conclusion"/>
    <w:p>
      <w:pPr>
        <w:pStyle w:val="Heading2"/>
      </w:pPr>
      <w:r>
        <w:t xml:space="preserve">7. Conclusion</w:t>
      </w:r>
    </w:p>
    <w:p>
      <w:pPr>
        <w:pStyle w:val="FirstParagraph"/>
      </w:pPr>
      <w:r>
        <w:t xml:space="preserve">In conclusion, this Peer Review Report confirms that the Lawyer operates at a high standard of professionalism within the jurisdiction of Italy Milan. The subject combines technical legal excellence with ethical integrity and a client-centric approach. The ability to navigate the complex intersection of Italian law and international commerce makes this Lawyer a valuable asset to the Milanese legal community. The recommendations provided are intended to support continuous improvement and adaptation to the evolving legal landscape.</w:t>
      </w:r>
    </w:p>
    <w:bookmarkEnd w:id="28"/>
    <w:p>
      <w:pPr>
        <w:pStyle w:val="BodyText"/>
      </w:pPr>
      <w:r>
        <w:rPr>
          <w:bCs/>
          <w:b/>
        </w:rPr>
        <w:t xml:space="preserve">Prepared by:</w:t>
      </w:r>
      <w:r>
        <w:br/>
      </w:r>
      <w:r>
        <w:t xml:space="preserve">Independent Peer Review Committee</w:t>
      </w:r>
      <w:r>
        <w:br/>
      </w:r>
      <w:r>
        <w:t xml:space="preserve">Legal Practice Standards Board</w:t>
      </w:r>
      <w:r>
        <w:br/>
      </w:r>
      <w:r>
        <w:rPr>
          <w:iCs/>
          <w:i/>
        </w:rPr>
        <w:t xml:space="preserve">For internal use and professional development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Italy Milan</dc:title>
  <dc:creator/>
  <dc:language>en</dc:language>
  <cp:keywords/>
  <dcterms:created xsi:type="dcterms:W3CDTF">2026-10-10T03:54:31Z</dcterms:created>
  <dcterms:modified xsi:type="dcterms:W3CDTF">2026-10-10T03:54:31Z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