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Legal</w:t>
      </w:r>
      <w:r>
        <w:t xml:space="preserve"> </w:t>
      </w:r>
      <w:r>
        <w:t xml:space="preserve">Practice</w:t>
      </w:r>
      <w:r>
        <w:t xml:space="preserve"> </w:t>
      </w:r>
      <w:r>
        <w:t xml:space="preserve">in</w:t>
      </w:r>
      <w:r>
        <w:t xml:space="preserve"> </w:t>
      </w:r>
      <w:r>
        <w:t xml:space="preserve">Almaty,</w:t>
      </w:r>
      <w:r>
        <w:t xml:space="preserve"> </w:t>
      </w:r>
      <w:r>
        <w:t xml:space="preserve">Kazakhstan</w:t>
      </w:r>
    </w:p>
    <w:bookmarkStart w:id="29" w:name="Xef193e6e11a7da2dcc865c57237ce1bd0de87de"/>
    <w:p>
      <w:pPr>
        <w:pStyle w:val="Heading1"/>
      </w:pPr>
      <w:r>
        <w:t xml:space="preserve">Peer Review Report: Legal Practice Standards</w:t>
      </w:r>
    </w:p>
    <w:p>
      <w:pPr>
        <w:pStyle w:val="FirstParagraph"/>
      </w:pPr>
      <w:r>
        <w:rPr>
          <w:bCs/>
          <w:b/>
        </w:rPr>
        <w:t xml:space="preserve">Subject:</w:t>
      </w:r>
      <w:r>
        <w:t xml:space="preserve"> </w:t>
      </w:r>
      <w:r>
        <w:t xml:space="preserve">Evaluation of Legal Competence and Ethics</w:t>
      </w:r>
      <w:r>
        <w:br/>
      </w:r>
      <w:r>
        <w:rPr>
          <w:bCs/>
          <w:b/>
        </w:rPr>
        <w:t xml:space="preserve">Location:</w:t>
      </w:r>
      <w:r>
        <w:t xml:space="preserve"> </w:t>
      </w:r>
      <w:r>
        <w:t xml:space="preserve">Almaty, Kazakhstan</w:t>
      </w:r>
      <w:r>
        <w:br/>
      </w:r>
      <w:r>
        <w:rPr>
          <w:bCs/>
          <w:b/>
        </w:rPr>
        <w:t xml:space="preserve">Date:</w:t>
      </w:r>
      <w:r>
        <w:t xml:space="preserve"> </w:t>
      </w:r>
      <w:r>
        <w:t xml:space="preserve">October 24, 2023</w:t>
      </w:r>
    </w:p>
    <w:p>
      <w:pPr>
        <w:pStyle w:val="BodyText"/>
      </w:pPr>
      <w:r>
        <w:rPr>
          <w:bCs/>
          <w:b/>
        </w:rPr>
        <w:t xml:space="preserve">Report Type:</w:t>
      </w:r>
      <w:r>
        <w:t xml:space="preserve"> </w:t>
      </w:r>
      <w:r>
        <w:t xml:space="preserve">Professional Peer Review</w:t>
      </w:r>
      <w:r>
        <w:br/>
      </w:r>
      <w:r>
        <w:rPr>
          <w:bCs/>
          <w:b/>
        </w:rPr>
        <w:t xml:space="preserve">Reference:</w:t>
      </w:r>
      <w:r>
        <w:t xml:space="preserve"> </w:t>
      </w:r>
      <w:r>
        <w:t xml:space="preserve">KBA-ALM-2023-PR-042</w:t>
      </w:r>
    </w:p>
    <w:bookmarkStart w:id="20" w:name="executive-summary"/>
    <w:p>
      <w:pPr>
        <w:pStyle w:val="Heading2"/>
      </w:pPr>
      <w:r>
        <w:t xml:space="preserve">1. Executive Summary</w:t>
      </w:r>
    </w:p>
    <w:p>
      <w:pPr>
        <w:pStyle w:val="FirstParagraph"/>
      </w:pPr>
      <w:r>
        <w:t xml:space="preserve">This Peer Review Report has been commissioned to evaluate the professional standing, operational efficiency, and ethical compliance of a practicing Lawyer within the jurisdiction of Almaty, Kazakhstan. As the economic and cultural hub of the nation, Almaty presents a unique legal landscape characterized by a rapid transition from Soviet-era legal frameworks to a modern, market-oriented civil law system. This report assesses the subject's ability to navigate this complex environment, ensuring that their practice aligns with the standards set by the Chamber of Advocates of the Republic of Kazakhstan and international best practices.</w:t>
      </w:r>
    </w:p>
    <w:p>
      <w:pPr>
        <w:pStyle w:val="BodyText"/>
      </w:pPr>
      <w:r>
        <w:t xml:space="preserve">The review focuses on the Lawyer's proficiency in local statutory interpretation, their capacity to handle cross-border transactions relevant to the Central Asian market, and their adherence to the Code of Professional Ethics. The findings indicate a high level of competence, though specific areas regarding digital case management and multilingual client communication require attention to maintain a competitive edge in the Almaty legal market.</w:t>
      </w:r>
    </w:p>
    <w:bookmarkEnd w:id="20"/>
    <w:bookmarkStart w:id="21" w:name="X03efdf754c32d12da427002735a64df7b4f84b5"/>
    <w:p>
      <w:pPr>
        <w:pStyle w:val="Heading2"/>
      </w:pPr>
      <w:r>
        <w:t xml:space="preserve">2. Contextual Analysis: The Almaty Legal Environment</w:t>
      </w:r>
    </w:p>
    <w:p>
      <w:pPr>
        <w:pStyle w:val="FirstParagraph"/>
      </w:pPr>
      <w:r>
        <w:t xml:space="preserve">To accurately assess a Lawyer in this region, one must understand the specific pressures of the Almaty market. Unlike Astana, which is heavily focused on administrative and state-level legislation, Almaty is the center of private enterprise, foreign investment, and commercial litigation. A competent Lawyer here must be well-versed not only in the Civil Code and Criminal Code of Kazakhstan but also in the nuances of the Law on Advocacy and Legal Assistance.</w:t>
      </w:r>
    </w:p>
    <w:p>
      <w:pPr>
        <w:pStyle w:val="BodyText"/>
      </w:pPr>
      <w:r>
        <w:t xml:space="preserve">Furthermore, the linguistic diversity of Almaty necessitates that a Lawyer possesses fluency in Kazakh, Russian, and English. This Peer Review Report evaluates whether the subject can effectively bridge these linguistic gaps, ensuring that legal nuances are not lost in translation during negotiations or court proceedings. The ability to draft contracts that are enforceable under Kazakh law while satisfying international partners is a critical metric for success in this jurisdiction.</w:t>
      </w:r>
    </w:p>
    <w:bookmarkEnd w:id="21"/>
    <w:bookmarkStart w:id="24" w:name="evaluation-of-legal-competence"/>
    <w:p>
      <w:pPr>
        <w:pStyle w:val="Heading2"/>
      </w:pPr>
      <w:r>
        <w:t xml:space="preserve">3. Evaluation of Legal Competence</w:t>
      </w:r>
    </w:p>
    <w:bookmarkStart w:id="22" w:name="statutory-knowledge-and-application"/>
    <w:p>
      <w:pPr>
        <w:pStyle w:val="Heading3"/>
      </w:pPr>
      <w:r>
        <w:t xml:space="preserve">3.1 Statutory Knowledge and Application</w:t>
      </w:r>
    </w:p>
    <w:p>
      <w:pPr>
        <w:pStyle w:val="FirstParagraph"/>
      </w:pPr>
      <w:r>
        <w:t xml:space="preserve">The subject demonstrates a robust understanding of the current legislative framework in Kazakhstan. The review examined several case files involving corporate restructuring and intellectual property disputes. In these instances, the Lawyer successfully applied recent amendments to the Tax Code and the Law on Joint Stock Companies. The ability to anticipate regulatory changes in Almaty's dynamic business environment is a significant strength.</w:t>
      </w:r>
    </w:p>
    <w:bookmarkEnd w:id="22"/>
    <w:bookmarkStart w:id="23" w:name="litigation-and-dispute-resolution"/>
    <w:p>
      <w:pPr>
        <w:pStyle w:val="Heading3"/>
      </w:pPr>
      <w:r>
        <w:t xml:space="preserve">3.2 Litigation and Dispute Resolution</w:t>
      </w:r>
    </w:p>
    <w:p>
      <w:pPr>
        <w:pStyle w:val="FirstParagraph"/>
      </w:pPr>
      <w:r>
        <w:t xml:space="preserve">In the realm of litigation, the Lawyer has shown proficiency in navigating the local court system. However, the Peer Review Report notes that while courtroom advocacy is strong, the preparation of pre-trial mediation strategies could be enhanced. Given the growing emphasis on alternative dispute resolution (ADR) in Kazakhstan, integrating more ADR mechanisms into the practice would benefit clients seeking faster resolutions in Almaty's busy commercial courts.</w:t>
      </w:r>
    </w:p>
    <w:bookmarkEnd w:id="23"/>
    <w:bookmarkEnd w:id="24"/>
    <w:bookmarkStart w:id="25" w:name="X6791cc610dabdca2d7729e72f17608ce3805386"/>
    <w:p>
      <w:pPr>
        <w:pStyle w:val="Heading2"/>
      </w:pPr>
      <w:r>
        <w:t xml:space="preserve">4. Ethical Compliance and Professional Conduct</w:t>
      </w:r>
    </w:p>
    <w:p>
      <w:pPr>
        <w:pStyle w:val="FirstParagraph"/>
      </w:pPr>
      <w:r>
        <w:t xml:space="preserve">Adherence to the Code of Professional Ethics is paramount. This report confirms that the Lawyer maintains strict client confidentiality and avoids conflicts of interest. The subject's interactions with judicial officers in Almaty appear to be conducted with appropriate decorum and professionalism. There were no findings of impropriety regarding fee structures or billing transparency, which are common areas of concern in peer reviews globally.</w:t>
      </w:r>
    </w:p>
    <w:p>
      <w:pPr>
        <w:pStyle w:val="BodyText"/>
      </w:pPr>
      <w:r>
        <w:rPr>
          <w:bCs/>
          <w:b/>
        </w:rPr>
        <w:t xml:space="preserve">Key Observation:</w:t>
      </w:r>
      <w:r>
        <w:t xml:space="preserve"> </w:t>
      </w:r>
      <w:r>
        <w:t xml:space="preserve">The Lawyer actively participates in continuing legal education (CLE) programs organized by the Chamber of Advocates, demonstrating a commitment to maintaining high ethical and professional standards in the evolving legal landscape of Kazakhstan.</w:t>
      </w:r>
    </w:p>
    <w:bookmarkEnd w:id="25"/>
    <w:bookmarkStart w:id="26" w:name="X5a557b8779081766587599ae3e6b167440efd1b"/>
    <w:p>
      <w:pPr>
        <w:pStyle w:val="Heading2"/>
      </w:pPr>
      <w:r>
        <w:t xml:space="preserve">5. Operational Efficiency and Client Service</w:t>
      </w:r>
    </w:p>
    <w:p>
      <w:pPr>
        <w:pStyle w:val="FirstParagraph"/>
      </w:pPr>
      <w:r>
        <w:t xml:space="preserve">The review assessed the internal operations of the Lawyer's practice. While the quality of legal advice is excellent, the administrative workflow shows signs of inefficiency. In a fast-paced city like Almaty, responsiveness is key. The Peer Review Report recommends the adoption of modern legal practice management software to streamline document drafting, time tracking, and client communication.</w:t>
      </w:r>
    </w:p>
    <w:p>
      <w:pPr>
        <w:pStyle w:val="BodyText"/>
      </w:pPr>
      <w:r>
        <w:t xml:space="preserve">Additionally, client feedback suggests that while the Lawyer is highly knowledgeable, the explanation of complex legal concepts to non-legal clients could be simplified. Enhancing client education materials in both Russian and English would improve the overall client experience and trust.</w:t>
      </w:r>
    </w:p>
    <w:bookmarkEnd w:id="26"/>
    <w:bookmarkStart w:id="27" w:name="recommendations"/>
    <w:p>
      <w:pPr>
        <w:pStyle w:val="Heading2"/>
      </w:pPr>
      <w:r>
        <w:t xml:space="preserve">6. Recommendations</w:t>
      </w:r>
    </w:p>
    <w:p>
      <w:pPr>
        <w:pStyle w:val="FirstParagraph"/>
      </w:pPr>
      <w:r>
        <w:t xml:space="preserve">Based on the comprehensive analysis provided in this Peer Review Report, the following recommendations are made for the Lawyer to further enhance their practice in Kazakhstan Almaty:</w:t>
      </w:r>
    </w:p>
    <w:p>
      <w:pPr>
        <w:numPr>
          <w:ilvl w:val="0"/>
          <w:numId w:val="1001"/>
        </w:numPr>
        <w:pStyle w:val="Compact"/>
      </w:pPr>
      <w:r>
        <w:rPr>
          <w:bCs/>
          <w:b/>
        </w:rPr>
        <w:t xml:space="preserve">Technological Integration:</w:t>
      </w:r>
      <w:r>
        <w:t xml:space="preserve"> </w:t>
      </w:r>
      <w:r>
        <w:t xml:space="preserve">Implement a secure, cloud-based case management system to improve efficiency and data security.</w:t>
      </w:r>
    </w:p>
    <w:p>
      <w:pPr>
        <w:numPr>
          <w:ilvl w:val="0"/>
          <w:numId w:val="1001"/>
        </w:numPr>
        <w:pStyle w:val="Compact"/>
      </w:pPr>
      <w:r>
        <w:rPr>
          <w:bCs/>
          <w:b/>
        </w:rPr>
        <w:t xml:space="preserve">Specialization:</w:t>
      </w:r>
      <w:r>
        <w:t xml:space="preserve"> </w:t>
      </w:r>
      <w:r>
        <w:t xml:space="preserve">Consider deepening expertise in specific high-demand sectors in Almaty, such as fintech regulation or energy law, to differentiate from general practitioners.</w:t>
      </w:r>
    </w:p>
    <w:p>
      <w:pPr>
        <w:numPr>
          <w:ilvl w:val="0"/>
          <w:numId w:val="1001"/>
        </w:numPr>
        <w:pStyle w:val="Compact"/>
      </w:pPr>
      <w:r>
        <w:rPr>
          <w:bCs/>
          <w:b/>
        </w:rPr>
        <w:t xml:space="preserve">Language Services:</w:t>
      </w:r>
      <w:r>
        <w:t xml:space="preserve"> </w:t>
      </w:r>
      <w:r>
        <w:t xml:space="preserve">Ensure that all critical legal documents are reviewed by native speakers of the target language to eliminate ambiguity in cross-border contracts.</w:t>
      </w:r>
    </w:p>
    <w:p>
      <w:pPr>
        <w:numPr>
          <w:ilvl w:val="0"/>
          <w:numId w:val="1001"/>
        </w:numPr>
        <w:pStyle w:val="Compact"/>
      </w:pPr>
      <w:r>
        <w:rPr>
          <w:bCs/>
          <w:b/>
        </w:rPr>
        <w:t xml:space="preserve">Networking:</w:t>
      </w:r>
      <w:r>
        <w:t xml:space="preserve"> </w:t>
      </w:r>
      <w:r>
        <w:t xml:space="preserve">Increase participation in international legal forums to build a network that can support clients with interests extending beyond Kazakhstan.</w:t>
      </w:r>
    </w:p>
    <w:bookmarkEnd w:id="27"/>
    <w:bookmarkStart w:id="28" w:name="conclusion"/>
    <w:p>
      <w:pPr>
        <w:pStyle w:val="Heading2"/>
      </w:pPr>
      <w:r>
        <w:t xml:space="preserve">7. Conclusion</w:t>
      </w:r>
    </w:p>
    <w:p>
      <w:pPr>
        <w:pStyle w:val="FirstParagraph"/>
      </w:pPr>
      <w:r>
        <w:t xml:space="preserve">In conclusion, this Peer Review Report affirms that the Lawyer under review is a capable and ethical professional well-suited to the demands of the Almaty legal market. Their strong grasp of local law, combined with a commitment to professional ethics, positions them as a reliable advisor for both domestic and international clients. By addressing the operational and strategic recommendations outlined above, the Lawyer can elevate their practice to an elite level, contributing positively to the development of the rule of law in Kazakhstan.</w:t>
      </w:r>
    </w:p>
    <w:p>
      <w:pPr>
        <w:pStyle w:val="BodyText"/>
      </w:pPr>
      <w:r>
        <w:rPr>
          <w:bCs/>
          <w:b/>
        </w:rPr>
        <w:t xml:space="preserve">Prepared by:</w:t>
      </w:r>
      <w:r>
        <w:br/>
      </w:r>
      <w:r>
        <w:t xml:space="preserve">Senior Legal Review Board</w:t>
      </w:r>
      <w:r>
        <w:br/>
      </w:r>
      <w:r>
        <w:t xml:space="preserve">Independent Peer Review Committee</w:t>
      </w:r>
      <w:r>
        <w:br/>
      </w:r>
      <w:r>
        <w:t xml:space="preserve">Almaty, Kazakhstan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Legal Practice in Almaty, Kazakhstan</dc:title>
  <dc:creator/>
  <dc:language>en</dc:language>
  <cp:keywords/>
  <dcterms:created xsi:type="dcterms:W3CDTF">2026-10-10T04:34:57Z</dcterms:created>
  <dcterms:modified xsi:type="dcterms:W3CDTF">2026-10-10T04:34:57Z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