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Kuala</w:t>
      </w:r>
      <w:r>
        <w:t xml:space="preserve"> </w:t>
      </w:r>
      <w:r>
        <w:t xml:space="preserve">Lumpur</w:t>
      </w:r>
    </w:p>
    <w:bookmarkStart w:id="20" w:name="peer-review-report"/>
    <w:p>
      <w:pPr>
        <w:pStyle w:val="Heading1"/>
      </w:pPr>
      <w:r>
        <w:t xml:space="preserve">Peer Review Report</w:t>
      </w:r>
    </w:p>
    <w:p>
      <w:pPr>
        <w:pStyle w:val="FirstParagraph"/>
      </w:pPr>
      <w:r>
        <w:rPr>
          <w:bCs/>
          <w:b/>
        </w:rPr>
        <w:t xml:space="preserve">Subject of Review:</w:t>
      </w:r>
      <w:r>
        <w:t xml:space="preserve"> </w:t>
      </w:r>
      <w:r>
        <w:t xml:space="preserve">Professional Competence and Service Standards of a Lawyer</w:t>
      </w:r>
    </w:p>
    <w:p>
      <w:pPr>
        <w:pStyle w:val="BodyText"/>
      </w:pPr>
      <w:r>
        <w:rPr>
          <w:bCs/>
          <w:b/>
        </w:rPr>
        <w:t xml:space="preserve">Geographic Jurisdiction:</w:t>
      </w:r>
      <w:r>
        <w:t xml:space="preserve"> </w:t>
      </w:r>
      <w:r>
        <w:t xml:space="preserve">Malaysia Kuala Lumpur</w:t>
      </w:r>
    </w:p>
    <w:p>
      <w:pPr>
        <w:pStyle w:val="BodyText"/>
      </w:pPr>
      <w:r>
        <w:rPr>
          <w:bCs/>
          <w:b/>
        </w:rPr>
        <w:t xml:space="preserve">Date of Report:</w:t>
      </w:r>
      <w:r>
        <w:t xml:space="preserve"> </w:t>
      </w:r>
      <w:r>
        <w:t xml:space="preserve">October 24, 2023</w:t>
      </w:r>
    </w:p>
    <w:p>
      <w:pPr>
        <w:pStyle w:val="BodyText"/>
      </w:pPr>
      <w:r>
        <w:rPr>
          <w:bCs/>
          <w:b/>
        </w:rPr>
        <w:t xml:space="preserve">Review Type:</w:t>
      </w:r>
      <w:r>
        <w:t xml:space="preserve"> </w:t>
      </w:r>
      <w:r>
        <w:t xml:space="preserve">Independent Professional Peer Assessment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standing, technical competence, and ethical adherence of a practicing</w:t>
      </w:r>
      <w:r>
        <w:t xml:space="preserve"> </w:t>
      </w:r>
      <w:r>
        <w:rPr>
          <w:bCs/>
          <w:b/>
        </w:rPr>
        <w:t xml:space="preserve">Lawyer</w:t>
      </w:r>
      <w:r>
        <w:t xml:space="preserve"> </w:t>
      </w:r>
      <w:r>
        <w:t xml:space="preserve">operating within the bustling legal landscape of</w:t>
      </w:r>
      <w:r>
        <w:t xml:space="preserve"> </w:t>
      </w:r>
      <w:r>
        <w:rPr>
          <w:bCs/>
          <w:b/>
        </w:rPr>
        <w:t xml:space="preserve">Malaysia Kuala Lumpur</w:t>
      </w:r>
      <w:r>
        <w:t xml:space="preserve">. As the capital city of Malaysia, Kuala Lumpur serves as the epicenter of the nation's commercial, corporate, and civil litigation activities. Consequently, the standards expected of legal practitioners in this region are exceptionally high. This report aims to provide a comprehensive analysis of the subject's ability to navigate the complex statutory frameworks of Malaysia while delivering effective counsel to clients in a competitive urban environment.</w:t>
      </w:r>
    </w:p>
    <w:p>
      <w:pPr>
        <w:pStyle w:val="BodyText"/>
      </w:pPr>
      <w:r>
        <w:t xml:space="preserve">The review process involved a detailed examination of case files, client feedback mechanisms, courtroom performance records, and adherence to the Rules of Professional Conduct and Ethics 2020 promulgated by the Malaysian Bar. The findings presented herein are intended to offer an objective assessment of the</w:t>
      </w:r>
      <w:r>
        <w:t xml:space="preserve"> </w:t>
      </w:r>
      <w:r>
        <w:rPr>
          <w:bCs/>
          <w:b/>
        </w:rPr>
        <w:t xml:space="preserve">Lawyer</w:t>
      </w:r>
      <w:r>
        <w:t xml:space="preserve">'s suitability for continued practice and potential advancement within the legal community of</w:t>
      </w:r>
      <w:r>
        <w:t xml:space="preserve"> </w:t>
      </w:r>
      <w:r>
        <w:rPr>
          <w:bCs/>
          <w:b/>
        </w:rPr>
        <w:t xml:space="preserve">Malaysia Kuala Lumpur</w:t>
      </w:r>
      <w:r>
        <w:t xml:space="preserve">.</w:t>
      </w:r>
    </w:p>
    <w:bookmarkEnd w:id="21"/>
    <w:bookmarkStart w:id="22" w:name="X3fb6f2c3bcb18413f272087e6a5135101012c55"/>
    <w:p>
      <w:pPr>
        <w:pStyle w:val="Heading2"/>
      </w:pPr>
      <w:r>
        <w:t xml:space="preserve">2. Scope of Practice and Jurisdictional Knowledge</w:t>
      </w:r>
    </w:p>
    <w:p>
      <w:pPr>
        <w:pStyle w:val="FirstParagraph"/>
      </w:pPr>
      <w:r>
        <w:t xml:space="preserve">A critical component of this</w:t>
      </w:r>
      <w:r>
        <w:t xml:space="preserve"> </w:t>
      </w:r>
      <w:r>
        <w:rPr>
          <w:bCs/>
          <w:b/>
        </w:rPr>
        <w:t xml:space="preserve">Peer Review Report</w:t>
      </w:r>
      <w:r>
        <w:t xml:space="preserve"> </w:t>
      </w:r>
      <w:r>
        <w:t xml:space="preserve">is the assessment of the</w:t>
      </w:r>
      <w:r>
        <w:t xml:space="preserve"> </w:t>
      </w:r>
      <w:r>
        <w:rPr>
          <w:bCs/>
          <w:b/>
        </w:rPr>
        <w:t xml:space="preserve">Lawyer</w:t>
      </w:r>
      <w:r>
        <w:t xml:space="preserve">'s mastery of local laws. Practicing in</w:t>
      </w:r>
      <w:r>
        <w:t xml:space="preserve"> </w:t>
      </w:r>
      <w:r>
        <w:rPr>
          <w:bCs/>
          <w:b/>
        </w:rPr>
        <w:t xml:space="preserve">Malaysia Kuala Lumpur</w:t>
      </w:r>
      <w:r>
        <w:t xml:space="preserve"> </w:t>
      </w:r>
      <w:r>
        <w:t xml:space="preserve">requires a nuanced understanding of both federal statutes and specific procedural rules governing the High Court of Malaya. The subject demonstrates a robust command of the Civil Procedure Code 1956 and the Criminal Procedure Code 1958, which are fundamental to litigation in the region.</w:t>
      </w:r>
    </w:p>
    <w:p>
      <w:pPr>
        <w:pStyle w:val="BodyText"/>
      </w:pPr>
      <w:r>
        <w:t xml:space="preserve">Furthermore, the review highlights the</w:t>
      </w:r>
      <w:r>
        <w:t xml:space="preserve"> </w:t>
      </w:r>
      <w:r>
        <w:rPr>
          <w:bCs/>
          <w:b/>
        </w:rPr>
        <w:t xml:space="preserve">Lawyer</w:t>
      </w:r>
      <w:r>
        <w:t xml:space="preserve">'s proficiency in handling matters specific to the Kuala Lumpur jurisdiction, such as land administration under the National Land Code and corporate governance issues relevant to the Kuala Lumpur Stock Exchange (Bursa Malaysia). The ability to interpret local case law and apply precedents set by the Court of Appeal and the Federal Court in Kuala Lumpur is evident in the subject's legal submissions. This deep-rooted knowledge ensures that clients receive advice that is not only legally sound but also practically applicable within the specific context of</w:t>
      </w:r>
      <w:r>
        <w:t xml:space="preserve"> </w:t>
      </w:r>
      <w:r>
        <w:rPr>
          <w:bCs/>
          <w:b/>
        </w:rPr>
        <w:t xml:space="preserve">Malaysia Kuala Lumpur</w:t>
      </w:r>
      <w:r>
        <w:t xml:space="preserve">.</w:t>
      </w:r>
    </w:p>
    <w:bookmarkEnd w:id="22"/>
    <w:bookmarkStart w:id="23" w:name="X8a4db540cd98544403a04b8222c0ea86bcc1f97"/>
    <w:p>
      <w:pPr>
        <w:pStyle w:val="Heading2"/>
      </w:pPr>
      <w:r>
        <w:t xml:space="preserve">3. Professional Competence and Case Management</w:t>
      </w:r>
    </w:p>
    <w:p>
      <w:pPr>
        <w:pStyle w:val="FirstParagraph"/>
      </w:pPr>
      <w:r>
        <w:t xml:space="preserve">The efficiency and thoroughness of case management are paramount for any</w:t>
      </w:r>
      <w:r>
        <w:t xml:space="preserve"> </w:t>
      </w:r>
      <w:r>
        <w:rPr>
          <w:bCs/>
          <w:b/>
        </w:rPr>
        <w:t xml:space="preserve">Lawyer</w:t>
      </w:r>
      <w:r>
        <w:t xml:space="preserve"> </w:t>
      </w:r>
      <w:r>
        <w:t xml:space="preserve">in a high-pressure environment like Kuala Lumpur. This</w:t>
      </w:r>
      <w:r>
        <w:t xml:space="preserve"> </w:t>
      </w:r>
      <w:r>
        <w:rPr>
          <w:bCs/>
          <w:b/>
        </w:rPr>
        <w:t xml:space="preserve">Peer Review Report</w:t>
      </w:r>
      <w:r>
        <w:t xml:space="preserve"> </w:t>
      </w:r>
      <w:r>
        <w:t xml:space="preserve">indicates that the subject maintains meticulous records and adheres strictly to court timelines. In the fast-paced legal sector of</w:t>
      </w:r>
      <w:r>
        <w:t xml:space="preserve"> </w:t>
      </w:r>
      <w:r>
        <w:rPr>
          <w:bCs/>
          <w:b/>
        </w:rPr>
        <w:t xml:space="preserve">Malaysia Kuala Lumpur</w:t>
      </w:r>
      <w:r>
        <w:t xml:space="preserve">, where court dockets are often congested, the ability to prioritize tasks and meet strict filing deadlines is a marker of excellence.</w:t>
      </w:r>
    </w:p>
    <w:p>
      <w:pPr>
        <w:pStyle w:val="BodyText"/>
      </w:pPr>
      <w:r>
        <w:t xml:space="preserve">The review of selected case files reveals a methodical approach to legal research and drafting. The</w:t>
      </w:r>
      <w:r>
        <w:t xml:space="preserve"> </w:t>
      </w:r>
      <w:r>
        <w:rPr>
          <w:bCs/>
          <w:b/>
        </w:rPr>
        <w:t xml:space="preserve">Lawyer</w:t>
      </w:r>
      <w:r>
        <w:t xml:space="preserve"> </w:t>
      </w:r>
      <w:r>
        <w:t xml:space="preserve">exhibits strong analytical skills, capable of dissecting complex legal issues and formulating coherent arguments. Whether dealing with commercial disputes, family law matters, or criminal defense, the subject's work product reflects a high degree of professionalism. The clarity of written submissions and the strategic planning evident in litigation management suggest that the</w:t>
      </w:r>
      <w:r>
        <w:t xml:space="preserve"> </w:t>
      </w:r>
      <w:r>
        <w:rPr>
          <w:bCs/>
          <w:b/>
        </w:rPr>
        <w:t xml:space="preserve">Lawyer</w:t>
      </w:r>
      <w:r>
        <w:t xml:space="preserve"> </w:t>
      </w:r>
      <w:r>
        <w:t xml:space="preserve">is well-equipped to handle the diverse legal challenges presented by clients in</w:t>
      </w:r>
      <w:r>
        <w:t xml:space="preserve"> </w:t>
      </w:r>
      <w:r>
        <w:rPr>
          <w:bCs/>
          <w:b/>
        </w:rPr>
        <w:t xml:space="preserve">Malaysia Kuala Lumpur</w:t>
      </w:r>
      <w:r>
        <w:t xml:space="preserve">.</w:t>
      </w:r>
    </w:p>
    <w:bookmarkEnd w:id="23"/>
    <w:bookmarkStart w:id="24" w:name="X4ce211acb8b02978b825403f312638d11fa1afd"/>
    <w:p>
      <w:pPr>
        <w:pStyle w:val="Heading2"/>
      </w:pPr>
      <w:r>
        <w:t xml:space="preserve">4. Ethical Standards and Professional Conduct</w:t>
      </w:r>
    </w:p>
    <w:p>
      <w:pPr>
        <w:pStyle w:val="FirstParagraph"/>
      </w:pPr>
      <w:r>
        <w:t xml:space="preserve">Integrity is the cornerstone of the legal profession. This</w:t>
      </w:r>
      <w:r>
        <w:t xml:space="preserve"> </w:t>
      </w:r>
      <w:r>
        <w:rPr>
          <w:bCs/>
          <w:b/>
        </w:rPr>
        <w:t xml:space="preserve">Peer Review Report</w:t>
      </w:r>
      <w:r>
        <w:t xml:space="preserve"> </w:t>
      </w:r>
      <w:r>
        <w:t xml:space="preserve">places significant emphasis on the subject's adherence to the ethical guidelines set forth by the Malaysian Bar. The</w:t>
      </w:r>
      <w:r>
        <w:t xml:space="preserve"> </w:t>
      </w:r>
      <w:r>
        <w:rPr>
          <w:bCs/>
          <w:b/>
        </w:rPr>
        <w:t xml:space="preserve">Lawyer</w:t>
      </w:r>
      <w:r>
        <w:t xml:space="preserve"> </w:t>
      </w:r>
      <w:r>
        <w:t xml:space="preserve">has demonstrated an unwavering commitment to confidentiality, conflict of interest avoidance, and honest dealings with the court and opposing counsel.</w:t>
      </w:r>
    </w:p>
    <w:p>
      <w:pPr>
        <w:pStyle w:val="BodyText"/>
      </w:pPr>
      <w:r>
        <w:t xml:space="preserve">In the context of</w:t>
      </w:r>
      <w:r>
        <w:t xml:space="preserve"> </w:t>
      </w:r>
      <w:r>
        <w:rPr>
          <w:bCs/>
          <w:b/>
        </w:rPr>
        <w:t xml:space="preserve">Malaysia Kuala Lumpur</w:t>
      </w:r>
      <w:r>
        <w:t xml:space="preserve">, where business relationships can be intricate, maintaining ethical boundaries is crucial. The review found no instances of misconduct or ethical breaches. The</w:t>
      </w:r>
      <w:r>
        <w:t xml:space="preserve"> </w:t>
      </w:r>
      <w:r>
        <w:rPr>
          <w:bCs/>
          <w:b/>
        </w:rPr>
        <w:t xml:space="preserve">Lawyer</w:t>
      </w:r>
      <w:r>
        <w:t xml:space="preserve"> </w:t>
      </w:r>
      <w:r>
        <w:t xml:space="preserve">consistently prioritizes the best interests of the client while respecting the administration of justice. This ethical fortitude enhances the reputation of the legal profession in the region and fosters trust among clients who rely on the</w:t>
      </w:r>
      <w:r>
        <w:t xml:space="preserve"> </w:t>
      </w:r>
      <w:r>
        <w:rPr>
          <w:bCs/>
          <w:b/>
        </w:rPr>
        <w:t xml:space="preserve">Lawyer</w:t>
      </w:r>
      <w:r>
        <w:t xml:space="preserve"> </w:t>
      </w:r>
      <w:r>
        <w:t xml:space="preserve">for sensitive legal matters.</w:t>
      </w:r>
    </w:p>
    <w:bookmarkEnd w:id="24"/>
    <w:bookmarkStart w:id="25" w:name="client-relations-and-communication"/>
    <w:p>
      <w:pPr>
        <w:pStyle w:val="Heading2"/>
      </w:pPr>
      <w:r>
        <w:t xml:space="preserve">5. Client Relations and Communication</w:t>
      </w:r>
    </w:p>
    <w:p>
      <w:pPr>
        <w:pStyle w:val="FirstParagraph"/>
      </w:pPr>
      <w:r>
        <w:t xml:space="preserve">Effective communication is essential for a</w:t>
      </w:r>
      <w:r>
        <w:t xml:space="preserve"> </w:t>
      </w:r>
      <w:r>
        <w:rPr>
          <w:bCs/>
          <w:b/>
        </w:rPr>
        <w:t xml:space="preserve">Lawyer</w:t>
      </w:r>
      <w:r>
        <w:t xml:space="preserve"> </w:t>
      </w:r>
      <w:r>
        <w:t xml:space="preserve">to manage client expectations and provide clear guidance. This</w:t>
      </w:r>
      <w:r>
        <w:t xml:space="preserve"> </w:t>
      </w:r>
      <w:r>
        <w:rPr>
          <w:bCs/>
          <w:b/>
        </w:rPr>
        <w:t xml:space="preserve">Peer Review Report</w:t>
      </w:r>
      <w:r>
        <w:t xml:space="preserve"> </w:t>
      </w:r>
      <w:r>
        <w:t xml:space="preserve">assesses the subject's ability to communicate complex legal concepts in an accessible manner. Feedback from clients and colleagues in</w:t>
      </w:r>
      <w:r>
        <w:t xml:space="preserve"> </w:t>
      </w:r>
      <w:r>
        <w:rPr>
          <w:bCs/>
          <w:b/>
        </w:rPr>
        <w:t xml:space="preserve">Malaysia Kuala Lumpur</w:t>
      </w:r>
      <w:r>
        <w:t xml:space="preserve"> </w:t>
      </w:r>
      <w:r>
        <w:t xml:space="preserve">suggests that the</w:t>
      </w:r>
      <w:r>
        <w:t xml:space="preserve"> </w:t>
      </w:r>
      <w:r>
        <w:rPr>
          <w:bCs/>
          <w:b/>
        </w:rPr>
        <w:t xml:space="preserve">Lawyer</w:t>
      </w:r>
      <w:r>
        <w:t xml:space="preserve"> </w:t>
      </w:r>
      <w:r>
        <w:t xml:space="preserve">is responsive, empathetic, and proactive in keeping clients informed about the progress of their cases.</w:t>
      </w:r>
    </w:p>
    <w:p>
      <w:pPr>
        <w:pStyle w:val="BodyText"/>
      </w:pPr>
      <w:r>
        <w:t xml:space="preserve">The multicultural nature of Kuala Lumpur requires legal practitioners to be culturally sensitive and adaptable. The subject has shown an ability to engage effectively with a diverse clientele, ensuring that language barriers or cultural differences do not impede the delivery of legal services. This client-centric approach is a significant asset in the competitive legal market of</w:t>
      </w:r>
      <w:r>
        <w:t xml:space="preserve"> </w:t>
      </w:r>
      <w:r>
        <w:rPr>
          <w:bCs/>
          <w:b/>
        </w:rPr>
        <w:t xml:space="preserve">Malaysia Kuala Lumpur</w:t>
      </w:r>
      <w:r>
        <w:t xml:space="preserve">.</w:t>
      </w:r>
    </w:p>
    <w:bookmarkEnd w:id="25"/>
    <w:bookmarkStart w:id="26" w:name="conclusion-and-recommendations"/>
    <w:p>
      <w:pPr>
        <w:pStyle w:val="Heading2"/>
      </w:pPr>
      <w:r>
        <w:t xml:space="preserve">6. Conclusion and Recommendations</w:t>
      </w:r>
    </w:p>
    <w:p>
      <w:pPr>
        <w:pStyle w:val="FirstParagraph"/>
      </w:pPr>
      <w:r>
        <w:t xml:space="preserve">Based on the comprehensive evaluation conducted for this</w:t>
      </w:r>
      <w:r>
        <w:t xml:space="preserve"> </w:t>
      </w:r>
      <w:r>
        <w:rPr>
          <w:bCs/>
          <w:b/>
        </w:rPr>
        <w:t xml:space="preserve">Peer Review Report</w:t>
      </w:r>
      <w:r>
        <w:t xml:space="preserve">, it is concluded that the subject</w:t>
      </w:r>
      <w:r>
        <w:t xml:space="preserve"> </w:t>
      </w:r>
      <w:r>
        <w:rPr>
          <w:bCs/>
          <w:b/>
        </w:rPr>
        <w:t xml:space="preserve">Lawyer</w:t>
      </w:r>
      <w:r>
        <w:t xml:space="preserve"> </w:t>
      </w:r>
      <w:r>
        <w:t xml:space="preserve">exhibits a high level of professional competence, ethical integrity, and dedication to the practice of law. The subject's deep understanding of the legal framework in</w:t>
      </w:r>
      <w:r>
        <w:t xml:space="preserve"> </w:t>
      </w:r>
      <w:r>
        <w:rPr>
          <w:bCs/>
          <w:b/>
        </w:rPr>
        <w:t xml:space="preserve">Malaysia Kuala Lumpur</w:t>
      </w:r>
      <w:r>
        <w:t xml:space="preserve">, combined with strong case management skills and excellent client relations, positions them as a valuable asset to the legal community.</w:t>
      </w:r>
    </w:p>
    <w:p>
      <w:pPr>
        <w:pStyle w:val="BodyText"/>
      </w:pPr>
      <w:r>
        <w:t xml:space="preserve">It is recommended that the</w:t>
      </w:r>
      <w:r>
        <w:t xml:space="preserve"> </w:t>
      </w:r>
      <w:r>
        <w:rPr>
          <w:bCs/>
          <w:b/>
        </w:rPr>
        <w:t xml:space="preserve">Lawyer</w:t>
      </w:r>
      <w:r>
        <w:t xml:space="preserve"> </w:t>
      </w:r>
      <w:r>
        <w:t xml:space="preserve">continues to engage in continuous professional development to stay abreast of evolving laws and regulations in Malaysia. Additionally, further specialization in emerging areas of law, such as technology and data privacy, could enhance their practice in the dynamic environment of</w:t>
      </w:r>
      <w:r>
        <w:t xml:space="preserve"> </w:t>
      </w:r>
      <w:r>
        <w:rPr>
          <w:bCs/>
          <w:b/>
        </w:rPr>
        <w:t xml:space="preserve">Malaysia Kuala Lumpur</w:t>
      </w:r>
      <w:r>
        <w:t xml:space="preserve">. Overall, this</w:t>
      </w:r>
      <w:r>
        <w:t xml:space="preserve"> </w:t>
      </w:r>
      <w:r>
        <w:rPr>
          <w:bCs/>
          <w:b/>
        </w:rPr>
        <w:t xml:space="preserve">Peer Review Report</w:t>
      </w:r>
      <w:r>
        <w:t xml:space="preserve"> </w:t>
      </w:r>
      <w:r>
        <w:t xml:space="preserve">affirms the subject's standing as a competent and ethical legal practitioner.</w:t>
      </w:r>
    </w:p>
    <w:p>
      <w:pPr>
        <w:pStyle w:val="BodyText"/>
      </w:pPr>
      <w:r>
        <w:rPr>
          <w:bCs/>
          <w:b/>
        </w:rPr>
        <w:t xml:space="preserve">Overall Rating:</w:t>
      </w:r>
      <w:r>
        <w:t xml:space="preserve"> </w:t>
      </w:r>
      <w:r>
        <w:t xml:space="preserve">Highly Competent</w:t>
      </w:r>
    </w:p>
    <w:p>
      <w:pPr>
        <w:pStyle w:val="BodyText"/>
      </w:pPr>
      <w:r>
        <w:rPr>
          <w:bCs/>
          <w:b/>
        </w:rPr>
        <w:t xml:space="preserve">Recommendation:</w:t>
      </w:r>
      <w:r>
        <w:t xml:space="preserve"> </w:t>
      </w:r>
      <w:r>
        <w:t xml:space="preserve">Approved for continued practice and potential leadership roles within the firm.</w:t>
      </w:r>
    </w:p>
    <w:bookmarkEnd w:id="26"/>
    <w:p>
      <w:pPr>
        <w:pStyle w:val="BodyText"/>
      </w:pPr>
      <w:r>
        <w:t xml:space="preserve">© 2023 Independent Legal Peer Review Board. All rights reserved. This document is confidential and intended solely for the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Services in Kuala Lumpur</dc:title>
  <dc:creator/>
  <dc:language>en</dc:language>
  <cp:keywords/>
  <dcterms:created xsi:type="dcterms:W3CDTF">2026-10-10T04:50:28Z</dcterms:created>
  <dcterms:modified xsi:type="dcterms:W3CDTF">2026-10-10T04:50:28Z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