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Practice Standards</w:t>
      </w:r>
      <w:r>
        <w:br/>
      </w: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Casablanca Bar Association Ethics Committee</w:t>
      </w:r>
      <w:r>
        <w:br/>
      </w:r>
      <w:r>
        <w:rPr>
          <w:bCs/>
          <w:b/>
        </w:rPr>
        <w:t xml:space="preserve">Reference ID:</w:t>
      </w:r>
      <w:r>
        <w:t xml:space="preserve"> </w:t>
      </w:r>
      <w:r>
        <w:t xml:space="preserve">CBA-PR-2023-089</w:t>
      </w:r>
    </w:p>
    <w:bookmarkStart w:id="26" w:name="Xaf9b0b2b012de3f76c5116d9d556d1fc26f1a9b"/>
    <w:p>
      <w:pPr>
        <w:pStyle w:val="Heading1"/>
      </w:pPr>
      <w:r>
        <w:t xml:space="preserve">Peer Review Report: Evaluation of Legal Practice Standards</w:t>
      </w:r>
    </w:p>
    <w:p>
      <w:pPr>
        <w:pStyle w:val="FirstParagraph"/>
      </w:pPr>
      <w:r>
        <w:t xml:space="preserve">This document serves as a formal</w:t>
      </w:r>
      <w:r>
        <w:t xml:space="preserve"> </w:t>
      </w:r>
      <w:r>
        <w:rPr>
          <w:bCs/>
          <w:b/>
        </w:rPr>
        <w:t xml:space="preserve">Peer Review Report</w:t>
      </w:r>
      <w:r>
        <w:t xml:space="preserve"> </w:t>
      </w:r>
      <w:r>
        <w:t xml:space="preserve">conducted by the designated ethics and quality assurance committee of the local Bar Association. The primary objective of this review is to evaluate the professional conduct, technical competence, and adherence to ethical standards of a</w:t>
      </w:r>
      <w:r>
        <w:t xml:space="preserve"> </w:t>
      </w:r>
      <w:r>
        <w:rPr>
          <w:bCs/>
          <w:b/>
        </w:rPr>
        <w:t xml:space="preserve">Lawyer</w:t>
      </w:r>
      <w:r>
        <w:t xml:space="preserve"> </w:t>
      </w:r>
      <w:r>
        <w:t xml:space="preserve">practicing within the jurisdiction of</w:t>
      </w:r>
      <w:r>
        <w:t xml:space="preserve"> </w:t>
      </w:r>
      <w:r>
        <w:rPr>
          <w:bCs/>
          <w:b/>
        </w:rPr>
        <w:t xml:space="preserve">Morocco Casablanca</w:t>
      </w:r>
      <w:r>
        <w:t xml:space="preserve">. As the economic capital of the Kingdom, Casablanca presents a unique legal landscape characterized by high-volume commercial litigation, complex corporate transactions, and a diverse clientele. Consequently, the standards applied in this review are rigorous, reflecting the demands of a modern, internationalized legal market.</w:t>
      </w:r>
    </w:p>
    <w:bookmarkStart w:id="20" w:name="introduction-and-scope-of-review"/>
    <w:p>
      <w:pPr>
        <w:pStyle w:val="Heading2"/>
      </w:pPr>
      <w:r>
        <w:t xml:space="preserve">1. Introduction and Scope of Review</w:t>
      </w:r>
    </w:p>
    <w:p>
      <w:pPr>
        <w:pStyle w:val="FirstParagraph"/>
      </w:pPr>
      <w:r>
        <w:t xml:space="preserve">The</w:t>
      </w:r>
      <w:r>
        <w:t xml:space="preserve"> </w:t>
      </w:r>
      <w:r>
        <w:rPr>
          <w:bCs/>
          <w:b/>
        </w:rPr>
        <w:t xml:space="preserve">Peer Review Report</w:t>
      </w:r>
      <w:r>
        <w:t xml:space="preserve"> </w:t>
      </w:r>
      <w:r>
        <w:t xml:space="preserve">process is a fundamental mechanism for maintaining the integrity of the legal profession. In the context of</w:t>
      </w:r>
      <w:r>
        <w:t xml:space="preserve"> </w:t>
      </w:r>
      <w:r>
        <w:rPr>
          <w:bCs/>
          <w:b/>
        </w:rPr>
        <w:t xml:space="preserve">Morocco Casablanca</w:t>
      </w:r>
      <w:r>
        <w:t xml:space="preserve">, where legal disputes often involve significant financial stakes and cross-border implications, the role of the</w:t>
      </w:r>
      <w:r>
        <w:t xml:space="preserve"> </w:t>
      </w:r>
      <w:r>
        <w:rPr>
          <w:bCs/>
          <w:b/>
        </w:rPr>
        <w:t xml:space="preserve">Lawyer</w:t>
      </w:r>
      <w:r>
        <w:t xml:space="preserve"> </w:t>
      </w:r>
      <w:r>
        <w:t xml:space="preserve">is critical. This review assesses the subject</w:t>
      </w:r>
      <w:r>
        <w:t xml:space="preserve"> </w:t>
      </w:r>
      <w:r>
        <w:rPr>
          <w:bCs/>
          <w:b/>
        </w:rPr>
        <w:t xml:space="preserve">Lawyer</w:t>
      </w:r>
      <w:r>
        <w:t xml:space="preserve"> </w:t>
      </w:r>
      <w:r>
        <w:t xml:space="preserve">against the Code of Professional Conduct for Lawyers in Morocco, as well as international best practices relevant to the Casablanca financial hub.</w:t>
      </w:r>
    </w:p>
    <w:p>
      <w:pPr>
        <w:pStyle w:val="BodyText"/>
      </w:pPr>
      <w:r>
        <w:t xml:space="preserve">The scope of this evaluation encompasses three main pillars: legal knowledge and application, client relationship management, and ethical compliance. The review period covers the last twenty-four months of practice, analyzing case files, client feedback, and courtroom performance.</w:t>
      </w:r>
    </w:p>
    <w:bookmarkEnd w:id="20"/>
    <w:bookmarkStart w:id="21" w:name="assessment-of-legal-competence"/>
    <w:p>
      <w:pPr>
        <w:pStyle w:val="Heading2"/>
      </w:pPr>
      <w:r>
        <w:t xml:space="preserve">2. Assessment of Legal Competence</w:t>
      </w:r>
    </w:p>
    <w:p>
      <w:pPr>
        <w:pStyle w:val="FirstParagraph"/>
      </w:pPr>
      <w:r>
        <w:t xml:space="preserve">A core requirement for any</w:t>
      </w:r>
      <w:r>
        <w:t xml:space="preserve"> </w:t>
      </w:r>
      <w:r>
        <w:rPr>
          <w:bCs/>
          <w:b/>
        </w:rPr>
        <w:t xml:space="preserve">Lawyer</w:t>
      </w:r>
      <w:r>
        <w:t xml:space="preserve"> </w:t>
      </w:r>
      <w:r>
        <w:t xml:space="preserve">in</w:t>
      </w:r>
      <w:r>
        <w:t xml:space="preserve"> </w:t>
      </w:r>
      <w:r>
        <w:rPr>
          <w:bCs/>
          <w:b/>
        </w:rPr>
        <w:t xml:space="preserve">Morocco Casablanca</w:t>
      </w:r>
      <w:r>
        <w:t xml:space="preserve"> </w:t>
      </w:r>
      <w:r>
        <w:t xml:space="preserve">is a profound understanding of both national statutes and local judicial precedents. The</w:t>
      </w:r>
      <w:r>
        <w:t xml:space="preserve"> </w:t>
      </w:r>
      <w:r>
        <w:rPr>
          <w:bCs/>
          <w:b/>
        </w:rPr>
        <w:t xml:space="preserve">Peer Review Report</w:t>
      </w:r>
      <w:r>
        <w:t xml:space="preserve"> </w:t>
      </w:r>
      <w:r>
        <w:t xml:space="preserve">indicates that the subject demonstrates a strong command of Moroccan civil and commercial law. Specifically, the</w:t>
      </w:r>
      <w:r>
        <w:t xml:space="preserve"> </w:t>
      </w:r>
      <w:r>
        <w:rPr>
          <w:bCs/>
          <w:b/>
        </w:rPr>
        <w:t xml:space="preserve">Lawyer</w:t>
      </w:r>
      <w:r>
        <w:t xml:space="preserve"> </w:t>
      </w:r>
      <w:r>
        <w:t xml:space="preserve">has shown proficiency in navigating the complexities of the Moroccan Code of Commerce and the Code of Obligations and Contracts.</w:t>
      </w:r>
    </w:p>
    <w:p>
      <w:pPr>
        <w:pStyle w:val="BodyText"/>
      </w:pPr>
      <w:r>
        <w:t xml:space="preserve">Furthermore, given the cosmopolitan nature of Casablanca, the ability to handle bilingual legal documentation (Arabic and French) is essential. The review confirms that the</w:t>
      </w:r>
      <w:r>
        <w:t xml:space="preserve"> </w:t>
      </w:r>
      <w:r>
        <w:rPr>
          <w:bCs/>
          <w:b/>
        </w:rPr>
        <w:t xml:space="preserve">Lawyer</w:t>
      </w:r>
      <w:r>
        <w:t xml:space="preserve"> </w:t>
      </w:r>
      <w:r>
        <w:t xml:space="preserve">maintains high standards in drafting legal instruments, ensuring that contracts and pleadings are precise, legally sound, and culturally appropriate for the local courts. The</w:t>
      </w:r>
      <w:r>
        <w:t xml:space="preserve"> </w:t>
      </w:r>
      <w:r>
        <w:rPr>
          <w:bCs/>
          <w:b/>
        </w:rPr>
        <w:t xml:space="preserve">Lawyer</w:t>
      </w:r>
      <w:r>
        <w:t xml:space="preserve"> </w:t>
      </w:r>
      <w:r>
        <w:t xml:space="preserve">has successfully represented clients in various chambers of the Court of First Instance in Casablanca, demonstrating effective oral advocacy skills.</w:t>
      </w:r>
    </w:p>
    <w:bookmarkEnd w:id="21"/>
    <w:bookmarkStart w:id="22" w:name="client-relations-and-professionalism"/>
    <w:p>
      <w:pPr>
        <w:pStyle w:val="Heading2"/>
      </w:pPr>
      <w:r>
        <w:t xml:space="preserve">3. Client Relations and Professionalism</w:t>
      </w:r>
    </w:p>
    <w:p>
      <w:pPr>
        <w:pStyle w:val="FirstParagraph"/>
      </w:pPr>
      <w:r>
        <w:t xml:space="preserve">The relationship between a</w:t>
      </w:r>
      <w:r>
        <w:t xml:space="preserve"> </w:t>
      </w:r>
      <w:r>
        <w:rPr>
          <w:bCs/>
          <w:b/>
        </w:rPr>
        <w:t xml:space="preserve">Lawyer</w:t>
      </w:r>
      <w:r>
        <w:t xml:space="preserve"> </w:t>
      </w:r>
      <w:r>
        <w:t xml:space="preserve">and their client is built on trust and transparency. In the competitive environment of</w:t>
      </w:r>
      <w:r>
        <w:t xml:space="preserve"> </w:t>
      </w:r>
      <w:r>
        <w:rPr>
          <w:bCs/>
          <w:b/>
        </w:rPr>
        <w:t xml:space="preserve">Morocco Casablanca</w:t>
      </w:r>
      <w:r>
        <w:t xml:space="preserve">, maintaining this trust is paramount. This</w:t>
      </w:r>
      <w:r>
        <w:t xml:space="preserve"> </w:t>
      </w:r>
      <w:r>
        <w:rPr>
          <w:bCs/>
          <w:b/>
        </w:rPr>
        <w:t xml:space="preserve">Peer Review Report</w:t>
      </w:r>
      <w:r>
        <w:t xml:space="preserve"> </w:t>
      </w:r>
      <w:r>
        <w:t xml:space="preserve">highlights the subject's commitment to clear communication. The</w:t>
      </w:r>
      <w:r>
        <w:t xml:space="preserve"> </w:t>
      </w:r>
      <w:r>
        <w:rPr>
          <w:bCs/>
          <w:b/>
        </w:rPr>
        <w:t xml:space="preserve">Lawyer</w:t>
      </w:r>
      <w:r>
        <w:t xml:space="preserve"> </w:t>
      </w:r>
      <w:r>
        <w:t xml:space="preserve">is commended for providing timely updates to clients regarding the status of their cases, a practice that is sometimes lacking in high-pressure legal environments.</w:t>
      </w:r>
    </w:p>
    <w:p>
      <w:pPr>
        <w:pStyle w:val="BodyText"/>
      </w:pPr>
      <w:r>
        <w:t xml:space="preserve">Additionally, the review examined the</w:t>
      </w:r>
      <w:r>
        <w:t xml:space="preserve"> </w:t>
      </w:r>
      <w:r>
        <w:rPr>
          <w:bCs/>
          <w:b/>
        </w:rPr>
        <w:t xml:space="preserve">Lawyer</w:t>
      </w:r>
      <w:r>
        <w:t xml:space="preserve">'s approach to fee structures. The findings suggest that the</w:t>
      </w:r>
      <w:r>
        <w:t xml:space="preserve"> </w:t>
      </w:r>
      <w:r>
        <w:rPr>
          <w:bCs/>
          <w:b/>
        </w:rPr>
        <w:t xml:space="preserve">Lawyer</w:t>
      </w:r>
      <w:r>
        <w:t xml:space="preserve"> </w:t>
      </w:r>
      <w:r>
        <w:t xml:space="preserve">adheres to transparent billing practices, providing detailed invoices that align with the agreed-upon terms. This level of professionalism is crucial for retaining client confidence in the Casablanca market, where corporate clients demand accountability.</w:t>
      </w:r>
    </w:p>
    <w:bookmarkEnd w:id="22"/>
    <w:bookmarkStart w:id="24" w:name="X62fe487662b7cc7f707b18b6c2fe2960ce58739"/>
    <w:p>
      <w:pPr>
        <w:pStyle w:val="Heading2"/>
      </w:pPr>
      <w:r>
        <w:t xml:space="preserve">4. Ethical Compliance and Conflict of Interest</w:t>
      </w:r>
    </w:p>
    <w:p>
      <w:pPr>
        <w:pStyle w:val="FirstParagraph"/>
      </w:pPr>
      <w:r>
        <w:t xml:space="preserve">Ethical integrity is the cornerstone of the legal profession. This</w:t>
      </w:r>
      <w:r>
        <w:t xml:space="preserve"> </w:t>
      </w:r>
      <w:r>
        <w:rPr>
          <w:bCs/>
          <w:b/>
        </w:rPr>
        <w:t xml:space="preserve">Peer Review Report</w:t>
      </w:r>
      <w:r>
        <w:t xml:space="preserve"> </w:t>
      </w:r>
      <w:r>
        <w:t xml:space="preserve">conducted a thorough audit of the</w:t>
      </w:r>
      <w:r>
        <w:t xml:space="preserve"> </w:t>
      </w:r>
      <w:r>
        <w:rPr>
          <w:bCs/>
          <w:b/>
        </w:rPr>
        <w:t xml:space="preserve">Lawyer</w:t>
      </w:r>
      <w:r>
        <w:t xml:space="preserve">'s file management to detect any potential conflicts of interest. The review found no evidence of ethical breaches. The</w:t>
      </w:r>
      <w:r>
        <w:t xml:space="preserve"> </w:t>
      </w:r>
      <w:r>
        <w:rPr>
          <w:bCs/>
          <w:b/>
        </w:rPr>
        <w:t xml:space="preserve">Lawyer</w:t>
      </w:r>
      <w:r>
        <w:t xml:space="preserve"> </w:t>
      </w:r>
      <w:r>
        <w:t xml:space="preserve">has consistently applied the necessary due diligence to screen for conflicts before accepting new mandates, ensuring that the interests of existing clients in</w:t>
      </w:r>
      <w:r>
        <w:t xml:space="preserve"> </w:t>
      </w:r>
      <w:r>
        <w:rPr>
          <w:bCs/>
          <w:b/>
        </w:rPr>
        <w:t xml:space="preserve">Morocco Casablanca</w:t>
      </w:r>
      <w:r>
        <w:t xml:space="preserve"> </w:t>
      </w:r>
      <w:r>
        <w:t xml:space="preserve">are not compromised.</w:t>
      </w:r>
    </w:p>
    <w:p>
      <w:pPr>
        <w:pStyle w:val="BodyText"/>
      </w:pPr>
      <w:r>
        <w:t xml:space="preserve">Moreover, the</w:t>
      </w:r>
      <w:r>
        <w:t xml:space="preserve"> </w:t>
      </w:r>
      <w:r>
        <w:rPr>
          <w:bCs/>
          <w:b/>
        </w:rPr>
        <w:t xml:space="preserve">Lawyer</w:t>
      </w:r>
      <w:r>
        <w:t xml:space="preserve"> </w:t>
      </w:r>
      <w:r>
        <w:t xml:space="preserve">has demonstrated strict adherence to client confidentiality rules. In an era of digital communication, the</w:t>
      </w:r>
      <w:r>
        <w:t xml:space="preserve"> </w:t>
      </w:r>
      <w:r>
        <w:rPr>
          <w:bCs/>
          <w:b/>
        </w:rPr>
        <w:t xml:space="preserve">Lawyer</w:t>
      </w:r>
      <w:r>
        <w:t xml:space="preserve"> </w:t>
      </w:r>
      <w:r>
        <w:t xml:space="preserve">employs secure methods for data storage and transmission, protecting sensitive client information in accordance with Moroccan data protection regulations.</w:t>
      </w:r>
    </w:p>
    <w:bookmarkStart w:id="23" w:name="key-observation"/>
    <w:p>
      <w:pPr>
        <w:pStyle w:val="Heading3"/>
      </w:pPr>
      <w:r>
        <w:t xml:space="preserve">Key Observation</w:t>
      </w:r>
    </w:p>
    <w:p>
      <w:pPr>
        <w:pStyle w:val="FirstParagraph"/>
      </w:pPr>
      <w:r>
        <w:t xml:space="preserve">The</w:t>
      </w:r>
      <w:r>
        <w:t xml:space="preserve"> </w:t>
      </w:r>
      <w:r>
        <w:rPr>
          <w:bCs/>
          <w:b/>
        </w:rPr>
        <w:t xml:space="preserve">Peer Review Report</w:t>
      </w:r>
      <w:r>
        <w:t xml:space="preserve"> </w:t>
      </w:r>
      <w:r>
        <w:t xml:space="preserve">notes that the</w:t>
      </w:r>
      <w:r>
        <w:t xml:space="preserve"> </w:t>
      </w:r>
      <w:r>
        <w:rPr>
          <w:bCs/>
          <w:b/>
        </w:rPr>
        <w:t xml:space="preserve">Lawyer</w:t>
      </w:r>
      <w:r>
        <w:t xml:space="preserve">'s proactive approach to continuing legal education is exemplary. By regularly attending seminars and workshops organized by the Casablanca Bar Association, the</w:t>
      </w:r>
      <w:r>
        <w:t xml:space="preserve"> </w:t>
      </w:r>
      <w:r>
        <w:rPr>
          <w:bCs/>
          <w:b/>
        </w:rPr>
        <w:t xml:space="preserve">Lawyer</w:t>
      </w:r>
      <w:r>
        <w:t xml:space="preserve"> </w:t>
      </w:r>
      <w:r>
        <w:t xml:space="preserve">remains updated on legislative changes affecting the region.</w:t>
      </w:r>
    </w:p>
    <w:bookmarkEnd w:id="23"/>
    <w:bookmarkEnd w:id="24"/>
    <w:bookmarkStart w:id="25" w:name="recommendations-and-conclusion"/>
    <w:p>
      <w:pPr>
        <w:pStyle w:val="Heading2"/>
      </w:pPr>
      <w:r>
        <w:t xml:space="preserve">5.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committee concludes that the</w:t>
      </w:r>
      <w:r>
        <w:t xml:space="preserve"> </w:t>
      </w:r>
      <w:r>
        <w:rPr>
          <w:bCs/>
          <w:b/>
        </w:rPr>
        <w:t xml:space="preserve">Lawyer</w:t>
      </w:r>
      <w:r>
        <w:t xml:space="preserve"> </w:t>
      </w:r>
      <w:r>
        <w:t xml:space="preserve">meets and, in several areas, exceeds the professional standards expected in</w:t>
      </w:r>
      <w:r>
        <w:t xml:space="preserve"> </w:t>
      </w:r>
      <w:r>
        <w:rPr>
          <w:bCs/>
          <w:b/>
        </w:rPr>
        <w:t xml:space="preserve">Morocco Casablanca</w:t>
      </w:r>
      <w:r>
        <w:t xml:space="preserve">. The</w:t>
      </w:r>
      <w:r>
        <w:t xml:space="preserve"> </w:t>
      </w:r>
      <w:r>
        <w:rPr>
          <w:bCs/>
          <w:b/>
        </w:rPr>
        <w:t xml:space="preserve">Lawyer</w:t>
      </w:r>
      <w:r>
        <w:t xml:space="preserve"> </w:t>
      </w:r>
      <w:r>
        <w:t xml:space="preserve">exhibits the technical skill, ethical fortitude, and professional demeanor required to serve the diverse legal needs of the Casablanca community.</w:t>
      </w:r>
    </w:p>
    <w:p>
      <w:pPr>
        <w:pStyle w:val="BodyText"/>
      </w:pPr>
      <w:r>
        <w:t xml:space="preserve">While the overall assessment is positive, the review offers the following recommendations for continued excellence:</w:t>
      </w:r>
    </w:p>
    <w:p>
      <w:pPr>
        <w:numPr>
          <w:ilvl w:val="0"/>
          <w:numId w:val="1001"/>
        </w:numPr>
        <w:pStyle w:val="Compact"/>
      </w:pPr>
      <w:r>
        <w:rPr>
          <w:bCs/>
          <w:b/>
        </w:rPr>
        <w:t xml:space="preserve">Digital Integration:</w:t>
      </w:r>
      <w:r>
        <w:t xml:space="preserve"> </w:t>
      </w:r>
      <w:r>
        <w:t xml:space="preserve">The</w:t>
      </w:r>
      <w:r>
        <w:t xml:space="preserve"> </w:t>
      </w:r>
      <w:r>
        <w:rPr>
          <w:bCs/>
          <w:b/>
        </w:rPr>
        <w:t xml:space="preserve">Lawyer</w:t>
      </w:r>
      <w:r>
        <w:t xml:space="preserve"> </w:t>
      </w:r>
      <w:r>
        <w:t xml:space="preserve">is encouraged to further integrate legal technology tools to enhance case management efficiency, a trend rapidly gaining traction in Casablanca's top firms.</w:t>
      </w:r>
    </w:p>
    <w:p>
      <w:pPr>
        <w:numPr>
          <w:ilvl w:val="0"/>
          <w:numId w:val="1001"/>
        </w:numPr>
        <w:pStyle w:val="Compact"/>
      </w:pPr>
      <w:r>
        <w:rPr>
          <w:bCs/>
          <w:b/>
        </w:rPr>
        <w:t xml:space="preserve">Specialization:</w:t>
      </w:r>
      <w:r>
        <w:t xml:space="preserve"> </w:t>
      </w:r>
      <w:r>
        <w:t xml:space="preserve">Given the evolving economic landscape of</w:t>
      </w:r>
      <w:r>
        <w:t xml:space="preserve"> </w:t>
      </w:r>
      <w:r>
        <w:rPr>
          <w:bCs/>
          <w:b/>
        </w:rPr>
        <w:t xml:space="preserve">Morocco Casablanca</w:t>
      </w:r>
      <w:r>
        <w:t xml:space="preserve">, the</w:t>
      </w:r>
      <w:r>
        <w:t xml:space="preserve"> </w:t>
      </w:r>
      <w:r>
        <w:rPr>
          <w:bCs/>
          <w:b/>
        </w:rPr>
        <w:t xml:space="preserve">Lawyer</w:t>
      </w:r>
      <w:r>
        <w:t xml:space="preserve"> </w:t>
      </w:r>
      <w:r>
        <w:t xml:space="preserve">might consider deepening expertise in emerging sectors such as fintech or renewable energy law.</w:t>
      </w:r>
    </w:p>
    <w:p>
      <w:pPr>
        <w:pStyle w:val="FirstParagraph"/>
      </w:pPr>
      <w:r>
        <w:t xml:space="preserve">In summary, this</w:t>
      </w:r>
      <w:r>
        <w:t xml:space="preserve"> </w:t>
      </w:r>
      <w:r>
        <w:rPr>
          <w:bCs/>
          <w:b/>
        </w:rPr>
        <w:t xml:space="preserve">Peer Review Report</w:t>
      </w:r>
      <w:r>
        <w:t xml:space="preserve"> </w:t>
      </w:r>
      <w:r>
        <w:t xml:space="preserve">validates the professional standing of the</w:t>
      </w:r>
      <w:r>
        <w:t xml:space="preserve"> </w:t>
      </w:r>
      <w:r>
        <w:rPr>
          <w:bCs/>
          <w:b/>
        </w:rPr>
        <w:t xml:space="preserve">Lawyer</w:t>
      </w:r>
      <w:r>
        <w:t xml:space="preserve">. The subject is deemed fit to continue practicing law in</w:t>
      </w:r>
      <w:r>
        <w:t xml:space="preserve"> </w:t>
      </w:r>
      <w:r>
        <w:rPr>
          <w:bCs/>
          <w:b/>
        </w:rPr>
        <w:t xml:space="preserve">Morocco Casablanca</w:t>
      </w:r>
      <w:r>
        <w:t xml:space="preserve"> </w:t>
      </w:r>
      <w:r>
        <w:t xml:space="preserve">without restriction. This report will be filed with the Bar Association records and may be referenced in future evaluations.</w:t>
      </w:r>
    </w:p>
    <w:p>
      <w:pPr>
        <w:pStyle w:val="BodyText"/>
      </w:pPr>
      <w:r>
        <w:rPr>
          <w:bCs/>
          <w:b/>
        </w:rPr>
        <w:t xml:space="preserve">Prepared by:</w:t>
      </w:r>
      <w:r>
        <w:br/>
      </w:r>
      <w:r>
        <w:t xml:space="preserve">Dr. Ahmed Benali</w:t>
      </w:r>
      <w:r>
        <w:br/>
      </w:r>
      <w:r>
        <w:t xml:space="preserve">Senior Reviewer, Ethics Committee</w:t>
      </w:r>
      <w:r>
        <w:br/>
      </w:r>
      <w:r>
        <w:t xml:space="preserve">Casablanca Bar Association</w:t>
      </w:r>
    </w:p>
    <w:p>
      <w:pPr>
        <w:pStyle w:val="BodyText"/>
      </w:pPr>
      <w:r>
        <w:rPr>
          <w:bCs/>
          <w:b/>
        </w:rPr>
        <w:t xml:space="preserve">Approved by:</w:t>
      </w:r>
      <w:r>
        <w:br/>
      </w:r>
      <w:r>
        <w:t xml:space="preserve">The Board of Directors</w:t>
      </w:r>
      <w:r>
        <w:br/>
      </w:r>
      <w:r>
        <w:rPr>
          <w:iCs/>
          <w:i/>
        </w:rPr>
        <w:t xml:space="preserve">Chambre des Avocats au Barreau de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Morocco Casablanca</dc:title>
  <dc:creator/>
  <dc:language>en</dc:language>
  <cp:keywords/>
  <dcterms:created xsi:type="dcterms:W3CDTF">2026-10-10T02:03:34Z</dcterms:created>
  <dcterms:modified xsi:type="dcterms:W3CDTF">2026-10-10T02:03:34Z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