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Myanmar</w:t>
      </w:r>
      <w:r>
        <w:t xml:space="preserve"> </w:t>
      </w:r>
      <w:r>
        <w:t xml:space="preserve">Yangon</w:t>
      </w:r>
    </w:p>
    <w:bookmarkStart w:id="29" w:name="X5a38df8160663ec2e9fed8f94130875d959bbf0"/>
    <w:p>
      <w:pPr>
        <w:pStyle w:val="Heading1"/>
      </w:pPr>
      <w:r>
        <w:t xml:space="preserve">Peer Review Report: Professional Competence and Ethical Standards</w:t>
      </w:r>
    </w:p>
    <w:p>
      <w:pPr>
        <w:pStyle w:val="FirstParagraph"/>
      </w:pPr>
      <w:r>
        <w:rPr>
          <w:bCs/>
          <w:b/>
        </w:rPr>
        <w:t xml:space="preserve">Subject of Review:</w:t>
      </w:r>
      <w:r>
        <w:t xml:space="preserve"> </w:t>
      </w:r>
      <w:r>
        <w:t xml:space="preserve">Legal Practitioner (Lawyer)</w:t>
      </w:r>
    </w:p>
    <w:p>
      <w:pPr>
        <w:pStyle w:val="BodyText"/>
      </w:pPr>
      <w:r>
        <w:rPr>
          <w:bCs/>
          <w:b/>
        </w:rPr>
        <w:t xml:space="preserve">Jurisdiction:</w:t>
      </w:r>
      <w:r>
        <w:t xml:space="preserve"> </w:t>
      </w:r>
      <w:r>
        <w:t xml:space="preserve">Yangon, Myanmar</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Comprehensive Professional Assessment</w:t>
      </w:r>
    </w:p>
    <w:p>
      <w:pPr>
        <w:pStyle w:val="BodyText"/>
      </w:pPr>
      <w:r>
        <w:rPr>
          <w:bCs/>
          <w:b/>
        </w:rPr>
        <w:t xml:space="preserve">Confidentiality Level:</w:t>
      </w:r>
      <w:r>
        <w:t xml:space="preserve"> </w:t>
      </w:r>
      <w:r>
        <w:t xml:space="preserve">Strictly Private</w:t>
      </w:r>
    </w:p>
    <w:bookmarkStart w:id="20" w:name="introduction-and-scope-of-review"/>
    <w:p>
      <w:pPr>
        <w:pStyle w:val="Heading2"/>
      </w:pPr>
      <w:r>
        <w:t xml:space="preserve">1. Introduction and Scope of Review</w:t>
      </w:r>
    </w:p>
    <w:p>
      <w:pPr>
        <w:pStyle w:val="FirstParagraph"/>
      </w:pPr>
      <w:r>
        <w:t xml:space="preserve">This Peer Review Report has been commissioned to evaluate the professional standing, technical competence, and ethical adherence of a practicing</w:t>
      </w:r>
      <w:r>
        <w:t xml:space="preserve"> </w:t>
      </w:r>
      <w:r>
        <w:rPr>
          <w:bCs/>
          <w:b/>
        </w:rPr>
        <w:t xml:space="preserve">Lawyer</w:t>
      </w:r>
      <w:r>
        <w:t xml:space="preserve"> </w:t>
      </w:r>
      <w:r>
        <w:t xml:space="preserve">operating within the bustling legal landscape of</w:t>
      </w:r>
      <w:r>
        <w:t xml:space="preserve"> </w:t>
      </w:r>
      <w:r>
        <w:rPr>
          <w:bCs/>
          <w:b/>
        </w:rPr>
        <w:t xml:space="preserve">Myanmar Yangon</w:t>
      </w:r>
      <w:r>
        <w:t xml:space="preserve">. The legal environment in Yangon is currently undergoing significant transformation, characterized by a complex interplay of traditional statutory frameworks, emerging commercial regulations, and socio-political shifts. Consequently, the role of a legal practitioner in this region demands not only a mastery of the law but also a profound understanding of local customs, procedural nuances, and the evolving regulatory climate.</w:t>
      </w:r>
    </w:p>
    <w:p>
      <w:pPr>
        <w:pStyle w:val="BodyText"/>
      </w:pPr>
      <w:r>
        <w:t xml:space="preserve">The scope of this review encompasses an analysis of the subject's case management, client communication, courtroom advocacy, and adherence to the Code of Conduct for Legal Practitioners in Myanmar. The objective is to provide a factual, unbiased assessment that highlights areas of excellence while identifying necessary improvements to ensure the highest standards of legal service in Yangon.</w:t>
      </w:r>
    </w:p>
    <w:bookmarkEnd w:id="20"/>
    <w:bookmarkStart w:id="21" w:name="X3a63dbe56d712cec3e0411d87d64fc693dc4b9b"/>
    <w:p>
      <w:pPr>
        <w:pStyle w:val="Heading2"/>
      </w:pPr>
      <w:r>
        <w:t xml:space="preserve">2. Jurisdictional Context: The Legal Landscape of Myanmar Yangon</w:t>
      </w:r>
    </w:p>
    <w:p>
      <w:pPr>
        <w:pStyle w:val="FirstParagraph"/>
      </w:pPr>
      <w:r>
        <w:t xml:space="preserve">To accurately assess a</w:t>
      </w:r>
      <w:r>
        <w:t xml:space="preserve"> </w:t>
      </w:r>
      <w:r>
        <w:rPr>
          <w:bCs/>
          <w:b/>
        </w:rPr>
        <w:t xml:space="preserve">Lawyer</w:t>
      </w:r>
      <w:r>
        <w:t xml:space="preserve"> </w:t>
      </w:r>
      <w:r>
        <w:t xml:space="preserve">in</w:t>
      </w:r>
      <w:r>
        <w:t xml:space="preserve"> </w:t>
      </w:r>
      <w:r>
        <w:rPr>
          <w:bCs/>
          <w:b/>
        </w:rPr>
        <w:t xml:space="preserve">Myanmar Yangon</w:t>
      </w:r>
      <w:r>
        <w:t xml:space="preserve">, one must consider the unique challenges of the jurisdiction. Yangon serves as the commercial hub of the nation, hosting the majority of foreign direct investment, corporate headquarters, and complex civil litigation. The legal system is a hybrid of English common law traditions and local statutory laws.</w:t>
      </w:r>
    </w:p>
    <w:p>
      <w:pPr>
        <w:pStyle w:val="BodyText"/>
      </w:pPr>
      <w:r>
        <w:t xml:space="preserve">A competent practitioner in this region must navigate the Yangon City Development Committee regulations, the Companies Act, and various land and property laws that are often subject to rapid amendment. Furthermore, the current political climate requires a</w:t>
      </w:r>
      <w:r>
        <w:t xml:space="preserve"> </w:t>
      </w:r>
      <w:r>
        <w:rPr>
          <w:bCs/>
          <w:b/>
        </w:rPr>
        <w:t xml:space="preserve">Lawyer</w:t>
      </w:r>
      <w:r>
        <w:t xml:space="preserve"> </w:t>
      </w:r>
      <w:r>
        <w:t xml:space="preserve">to exercise extreme diligence regarding compliance and risk management. This review evaluates how effectively the subject navigates these specific local constraints while maintaining professional integrity.</w:t>
      </w:r>
    </w:p>
    <w:bookmarkEnd w:id="21"/>
    <w:bookmarkStart w:id="24" w:name="assessment-of-technical-competence"/>
    <w:p>
      <w:pPr>
        <w:pStyle w:val="Heading2"/>
      </w:pPr>
      <w:r>
        <w:t xml:space="preserve">3. Assessment of Technical Competence</w:t>
      </w:r>
    </w:p>
    <w:bookmarkStart w:id="22" w:name="legal-research-and-application"/>
    <w:p>
      <w:pPr>
        <w:pStyle w:val="Heading3"/>
      </w:pPr>
      <w:r>
        <w:t xml:space="preserve">3.1 Legal Research and Application</w:t>
      </w:r>
    </w:p>
    <w:p>
      <w:pPr>
        <w:pStyle w:val="FirstParagraph"/>
      </w:pPr>
      <w:r>
        <w:t xml:space="preserve">The subject demonstrates a robust capability in legal research, specifically regarding Myanmar's statutory instruments. The review of selected case files indicates a thorough understanding of the Civil Procedure Code and the Evidence Act. However, given the dynamic nature of laws in</w:t>
      </w:r>
      <w:r>
        <w:t xml:space="preserve"> </w:t>
      </w:r>
      <w:r>
        <w:rPr>
          <w:bCs/>
          <w:b/>
        </w:rPr>
        <w:t xml:space="preserve">Myanmar Yangon</w:t>
      </w:r>
      <w:r>
        <w:t xml:space="preserve">, there is a recommendation to enhance the integration of recent judicial precedents from the Yangon High Court into legal arguments. The ability to interpret ambiguous statutes is a critical skill for any</w:t>
      </w:r>
      <w:r>
        <w:t xml:space="preserve"> </w:t>
      </w:r>
      <w:r>
        <w:rPr>
          <w:bCs/>
          <w:b/>
        </w:rPr>
        <w:t xml:space="preserve">Lawyer</w:t>
      </w:r>
      <w:r>
        <w:t xml:space="preserve"> </w:t>
      </w:r>
      <w:r>
        <w:t xml:space="preserve">in this jurisdiction, and the subject generally performs well, though greater precision in statutory interpretation is advised.</w:t>
      </w:r>
    </w:p>
    <w:bookmarkEnd w:id="22"/>
    <w:bookmarkStart w:id="23" w:name="drafting-and-documentation"/>
    <w:p>
      <w:pPr>
        <w:pStyle w:val="Heading3"/>
      </w:pPr>
      <w:r>
        <w:t xml:space="preserve">3.2 Drafting and Documentation</w:t>
      </w:r>
    </w:p>
    <w:p>
      <w:pPr>
        <w:pStyle w:val="FirstParagraph"/>
      </w:pPr>
      <w:r>
        <w:t xml:space="preserve">Legal drafting is a cornerstone of practice in Yangon, where contracts and affidavits must often be bilingual (English and Burmese) to be effective across different government bodies and international stakeholders. The subject's drafting skills are competent, with clear structure and logical flow. Nevertheless, attention to detail regarding specific terminology used in the Yangon Land Department and the Attorney General's Office is crucial. Minor inconsistencies in terminology were noted, which could potentially lead to administrative delays in a bureaucratic environment like Yangon.</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Adherence to ethical standards is paramount. This</w:t>
      </w:r>
      <w:r>
        <w:t xml:space="preserve"> </w:t>
      </w:r>
      <w:r>
        <w:rPr>
          <w:bCs/>
          <w:b/>
        </w:rPr>
        <w:t xml:space="preserve">Peer Review Report</w:t>
      </w:r>
      <w:r>
        <w:t xml:space="preserve"> </w:t>
      </w:r>
      <w:r>
        <w:t xml:space="preserve">confirms that the subject generally upholds the principles of confidentiality, loyalty, and candor. In the context of</w:t>
      </w:r>
      <w:r>
        <w:t xml:space="preserve"> </w:t>
      </w:r>
      <w:r>
        <w:rPr>
          <w:bCs/>
          <w:b/>
        </w:rPr>
        <w:t xml:space="preserve">Myanmar Yangon</w:t>
      </w:r>
      <w:r>
        <w:t xml:space="preserve">, where informal networks can sometimes influence legal outcomes, the subject has shown commendable resistance to unethical pressures.</w:t>
      </w:r>
    </w:p>
    <w:p>
      <w:pPr>
        <w:pStyle w:val="BodyText"/>
      </w:pPr>
      <w:r>
        <w:t xml:space="preserve">However, the review highlights the need for stricter conflict of interest checks. Due to the relatively small size of the legal community in Yangon, conflicts can arise unexpectedly. Implementing a more rigorous digital conflict check system is recommended to ensure that the</w:t>
      </w:r>
      <w:r>
        <w:t xml:space="preserve"> </w:t>
      </w:r>
      <w:r>
        <w:rPr>
          <w:bCs/>
          <w:b/>
        </w:rPr>
        <w:t xml:space="preserve">Lawyer</w:t>
      </w:r>
      <w:r>
        <w:t xml:space="preserve"> </w:t>
      </w:r>
      <w:r>
        <w:t xml:space="preserve">remains fully compliant with the ethical guidelines set forth by the Myanmar Bar Association.</w:t>
      </w:r>
    </w:p>
    <w:bookmarkEnd w:id="25"/>
    <w:bookmarkStart w:id="26" w:name="client-relations-and-communication"/>
    <w:p>
      <w:pPr>
        <w:pStyle w:val="Heading2"/>
      </w:pPr>
      <w:r>
        <w:t xml:space="preserve">5. Client Relations and Communication</w:t>
      </w:r>
    </w:p>
    <w:p>
      <w:pPr>
        <w:pStyle w:val="FirstParagraph"/>
      </w:pPr>
      <w:r>
        <w:t xml:space="preserve">Effective communication is vital for a</w:t>
      </w:r>
      <w:r>
        <w:t xml:space="preserve"> </w:t>
      </w:r>
      <w:r>
        <w:rPr>
          <w:bCs/>
          <w:b/>
        </w:rPr>
        <w:t xml:space="preserve">Lawyer</w:t>
      </w:r>
      <w:r>
        <w:t xml:space="preserve"> </w:t>
      </w:r>
      <w:r>
        <w:t xml:space="preserve">serving both local Myanmar clients and international entities in Yangon. The subject is praised for their accessibility and responsiveness. The ability to explain complex legal concepts in plain language, particularly to clients unfamiliar with the Myanmar legal system, is a significant strength.</w:t>
      </w:r>
    </w:p>
    <w:p>
      <w:pPr>
        <w:pStyle w:val="BodyText"/>
      </w:pPr>
      <w:r>
        <w:t xml:space="preserve">One area for improvement is the management of client expectations regarding timelines. The judicial process in Yangon can be unpredictable due to administrative backlogs and external factors. The subject should provide more realistic, conservative timelines to clients to avoid dissatisfaction. Clear, documented updates are essential to maintain trust in this challenging environment.</w:t>
      </w:r>
    </w:p>
    <w:bookmarkEnd w:id="26"/>
    <w:bookmarkStart w:id="27" w:name="X2505c1a0023529382629b60d8e35fc2b9eaee81"/>
    <w:p>
      <w:pPr>
        <w:pStyle w:val="Heading2"/>
      </w:pPr>
      <w:r>
        <w:t xml:space="preserve">6. Recommendations for Professional Development</w:t>
      </w:r>
    </w:p>
    <w:p>
      <w:pPr>
        <w:pStyle w:val="FirstParagraph"/>
      </w:pPr>
      <w:r>
        <w:t xml:space="preserve">Based on the findings of this</w:t>
      </w:r>
      <w:r>
        <w:t xml:space="preserve"> </w:t>
      </w:r>
      <w:r>
        <w:rPr>
          <w:bCs/>
          <w:b/>
        </w:rPr>
        <w:t xml:space="preserve">Peer Review Report</w:t>
      </w:r>
      <w:r>
        <w:t xml:space="preserve">, the following recommendations are made to enhance the practice of the</w:t>
      </w:r>
      <w:r>
        <w:t xml:space="preserve"> </w:t>
      </w:r>
      <w:r>
        <w:rPr>
          <w:bCs/>
          <w:b/>
        </w:rPr>
        <w:t xml:space="preserve">Lawyer</w:t>
      </w:r>
      <w:r>
        <w:t xml:space="preserve"> </w:t>
      </w:r>
      <w:r>
        <w:t xml:space="preserve">in</w:t>
      </w:r>
      <w:r>
        <w:t xml:space="preserve"> </w:t>
      </w:r>
      <w:r>
        <w:rPr>
          <w:bCs/>
          <w:b/>
        </w:rPr>
        <w:t xml:space="preserve">Myanmar Yangon</w:t>
      </w:r>
      <w:r>
        <w:t xml:space="preserve">:</w:t>
      </w:r>
    </w:p>
    <w:p>
      <w:pPr>
        <w:numPr>
          <w:ilvl w:val="0"/>
          <w:numId w:val="1001"/>
        </w:numPr>
        <w:pStyle w:val="Compact"/>
      </w:pPr>
      <w:r>
        <w:rPr>
          <w:bCs/>
          <w:b/>
        </w:rPr>
        <w:t xml:space="preserve">Continuing Legal Education:</w:t>
      </w:r>
      <w:r>
        <w:t xml:space="preserve"> </w:t>
      </w:r>
      <w:r>
        <w:t xml:space="preserve">Engage in regular training sessions focused on recent amendments to Myanmar's commercial and labor laws.</w:t>
      </w:r>
    </w:p>
    <w:p>
      <w:pPr>
        <w:numPr>
          <w:ilvl w:val="0"/>
          <w:numId w:val="1001"/>
        </w:numPr>
        <w:pStyle w:val="Compact"/>
      </w:pPr>
      <w:r>
        <w:rPr>
          <w:bCs/>
          <w:b/>
        </w:rPr>
        <w:t xml:space="preserve">Procedural Efficiency:</w:t>
      </w:r>
      <w:r>
        <w:t xml:space="preserve"> </w:t>
      </w:r>
      <w:r>
        <w:t xml:space="preserve">Develop standardized checklists for filings with Yangon courts and government departments to minimize administrative errors.</w:t>
      </w:r>
    </w:p>
    <w:p>
      <w:pPr>
        <w:numPr>
          <w:ilvl w:val="0"/>
          <w:numId w:val="1001"/>
        </w:numPr>
        <w:pStyle w:val="Compact"/>
      </w:pPr>
      <w:r>
        <w:rPr>
          <w:bCs/>
          <w:b/>
        </w:rPr>
        <w:t xml:space="preserve">Conflict Management:</w:t>
      </w:r>
      <w:r>
        <w:t xml:space="preserve"> </w:t>
      </w:r>
      <w:r>
        <w:t xml:space="preserve">Adopt advanced software for conflict of interest screening to navigate the dense professional network of Yangon.</w:t>
      </w:r>
    </w:p>
    <w:p>
      <w:pPr>
        <w:numPr>
          <w:ilvl w:val="0"/>
          <w:numId w:val="1001"/>
        </w:numPr>
        <w:pStyle w:val="Compact"/>
      </w:pPr>
      <w:r>
        <w:rPr>
          <w:bCs/>
          <w:b/>
        </w:rPr>
        <w:t xml:space="preserve">Cultural Competence:</w:t>
      </w:r>
      <w:r>
        <w:t xml:space="preserve"> </w:t>
      </w:r>
      <w:r>
        <w:t xml:space="preserve">Continue to refine skills in cross-cultural communication to better serve the diverse client base in Yangon's international business sector.</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finds that the subject is a capable and dedicated</w:t>
      </w:r>
      <w:r>
        <w:t xml:space="preserve"> </w:t>
      </w:r>
      <w:r>
        <w:rPr>
          <w:bCs/>
          <w:b/>
        </w:rPr>
        <w:t xml:space="preserve">Lawyer</w:t>
      </w:r>
      <w:r>
        <w:t xml:space="preserve"> </w:t>
      </w:r>
      <w:r>
        <w:t xml:space="preserve">who contributes positively to the legal profession in</w:t>
      </w:r>
      <w:r>
        <w:t xml:space="preserve"> </w:t>
      </w:r>
      <w:r>
        <w:rPr>
          <w:bCs/>
          <w:b/>
        </w:rPr>
        <w:t xml:space="preserve">Myanmar Yangon</w:t>
      </w:r>
      <w:r>
        <w:t xml:space="preserve">. While there are areas requiring refinement, particularly in procedural precision and conflict management, the overall assessment is favorable. By implementing the recommendations outlined above, the subject will be well-positioned to navigate the complexities of the Yangon legal market and provide exceptional service to their clients.</w:t>
      </w:r>
    </w:p>
    <w:p>
      <w:pPr>
        <w:pStyle w:val="BodyText"/>
      </w:pPr>
      <w:r>
        <w:rPr>
          <w:bCs/>
          <w:b/>
        </w:rPr>
        <w:t xml:space="preserve">Prepared by:</w:t>
      </w:r>
    </w:p>
    <w:p>
      <w:pPr>
        <w:pStyle w:val="BodyText"/>
      </w:pPr>
      <w:r>
        <w:t xml:space="preserve">Senior Peer Review Committee</w:t>
      </w:r>
    </w:p>
    <w:p>
      <w:pPr>
        <w:pStyle w:val="BodyText"/>
      </w:pPr>
      <w:r>
        <w:t xml:space="preserve">Yangon Legal Practice Standards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Myanmar Yangon</dc:title>
  <dc:creator/>
  <dc:language>en</dc:language>
  <cp:keywords/>
  <dcterms:created xsi:type="dcterms:W3CDTF">2026-10-10T03:50:39Z</dcterms:created>
  <dcterms:modified xsi:type="dcterms:W3CDTF">2026-10-10T03:50:39Z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