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Practice Standards of a Lawyer</w:t>
      </w:r>
    </w:p>
    <w:p>
      <w:pPr>
        <w:pStyle w:val="BodyText"/>
      </w:pPr>
      <w:r>
        <w:rPr>
          <w:bCs/>
          <w:b/>
        </w:rPr>
        <w:t xml:space="preserve">Jurisdiction:</w:t>
      </w:r>
      <w:r>
        <w:t xml:space="preserve"> </w:t>
      </w:r>
      <w:r>
        <w:t xml:space="preserve">Netherlands Amsterdam</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Legal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conduct, technical competence, and operational standards of a Lawyer practicing within the jurisdiction of Netherlands Amsterdam. The review was conducted in accordance with the guidelines set forth by the Dutch Bar Association (Nederlandse Orde van Advocaten) and aligns with the European Code of Conduct for Lawyers. The primary objective of this assessment is to ensure that the subject Lawyer maintains the highest standards of legal practice, client care, and ethical integrity expected within the vibrant and complex legal landscape of Amsterdam.</w:t>
      </w:r>
    </w:p>
    <w:p>
      <w:pPr>
        <w:pStyle w:val="BodyText"/>
      </w:pPr>
      <w:r>
        <w:t xml:space="preserve">Amsterdam serves as a major international legal hub, requiring practitioners to navigate not only Dutch civil law but also international commercial regulations and cross-border disputes. Consequently, this review places significant emphasis on the Lawyer's ability to operate effectively within this specific metropolitan context.</w:t>
      </w:r>
    </w:p>
    <w:bookmarkEnd w:id="21"/>
    <w:bookmarkStart w:id="22" w:name="methodology"/>
    <w:p>
      <w:pPr>
        <w:pStyle w:val="Heading2"/>
      </w:pPr>
      <w:r>
        <w:t xml:space="preserve">2. Methodology</w:t>
      </w:r>
    </w:p>
    <w:p>
      <w:pPr>
        <w:pStyle w:val="FirstParagraph"/>
      </w:pPr>
      <w:r>
        <w:t xml:space="preserve">The evaluation process involved a comprehensive analysis of the Lawyer's case files, client correspondence, and court submissions over the preceding twelve months. The review team conducted interviews with the Lawyer, observed courtroom proceedings at the District Court of Amsterdam (Rechtbank Amsterdam), and surveyed a sample of current and former clients. Special attention was paid to compliance with the Dutch Code of Conduct for Lawyers (Gedragsregels voor Advocaten).</w:t>
      </w:r>
    </w:p>
    <w:bookmarkEnd w:id="22"/>
    <w:bookmarkStart w:id="23" w:name="assessment-of-legal-competence"/>
    <w:p>
      <w:pPr>
        <w:pStyle w:val="Heading2"/>
      </w:pPr>
      <w:r>
        <w:t xml:space="preserve">3. Assessment of Legal Competence</w:t>
      </w:r>
    </w:p>
    <w:p>
      <w:pPr>
        <w:pStyle w:val="FirstParagraph"/>
      </w:pPr>
      <w:r>
        <w:t xml:space="preserve">The Lawyer demonstrates a robust understanding of substantive law relevant to their practice areas. In the context of Netherlands Amsterdam, where commercial litigation and real estate law are prevalent, the subject exhibits a high level of proficiency. The review found that the Lawyer consistently applies the correct legal principles from the Dutch Civil Code (Burgerlijk Wetboek) and relevant case law from the Supreme Court of the Netherlands (Hoge Raad).</w:t>
      </w:r>
    </w:p>
    <w:p>
      <w:pPr>
        <w:pStyle w:val="BodyText"/>
      </w:pPr>
      <w:r>
        <w:t xml:space="preserve">Furthermore, the Lawyer shows a commendable ability to handle multilingual cases, a critical skill in Amsterdam's international environment. The capacity to draft legal documents in both Dutch and English without compromising legal precision was noted as a significant strength. This bilingual competence ensures that the Lawyer can effectively represent both domestic Dutch clients and international entities operating within the Amsterdam business district.</w:t>
      </w:r>
    </w:p>
    <w:bookmarkEnd w:id="23"/>
    <w:bookmarkStart w:id="24" w:name="client-care-and-communication"/>
    <w:p>
      <w:pPr>
        <w:pStyle w:val="Heading2"/>
      </w:pPr>
      <w:r>
        <w:t xml:space="preserve">4. Client Care and Communication</w:t>
      </w:r>
    </w:p>
    <w:p>
      <w:pPr>
        <w:pStyle w:val="FirstParagraph"/>
      </w:pPr>
      <w:r>
        <w:t xml:space="preserve">A core component of this Peer Review Report is the evaluation of client relationships. The Lawyer has been found to adhere strictly to the duty of care owed to clients. Feedback indicates that the Lawyer provides clear, timely, and honest advice, avoiding unnecessary legal jargon when communicating with laypersons. This approach is particularly important in the Netherlands, where transparency and directness are highly valued cultural traits.</w:t>
      </w:r>
    </w:p>
    <w:p>
      <w:pPr>
        <w:pStyle w:val="BodyText"/>
      </w:pPr>
      <w:r>
        <w:t xml:space="preserve">The review confirms that the Lawyer maintains appropriate boundaries and manages client expectations realistically. In cases involving high-stakes litigation in Amsterdam, the Lawyer was observed to keep clients informed of procedural developments and potential risks, thereby upholding the principle of informed consent.</w:t>
      </w:r>
    </w:p>
    <w:bookmarkEnd w:id="24"/>
    <w:bookmarkStart w:id="25" w:name="X2e3a971ce519929cc74df70108166247bfbb09a"/>
    <w:p>
      <w:pPr>
        <w:pStyle w:val="Heading2"/>
      </w:pPr>
      <w:r>
        <w:t xml:space="preserve">5. Ethical Standards and Professional Integrity</w:t>
      </w:r>
    </w:p>
    <w:p>
      <w:pPr>
        <w:pStyle w:val="FirstParagraph"/>
      </w:pPr>
      <w:r>
        <w:t xml:space="preserve">Ethical compliance is paramount for any Lawyer in the Netherlands. This report confirms that the subject Lawyer strictly adheres to the rules regarding confidentiality, conflict of interest, and independence. The review team examined several files where potential conflicts could have arisen, particularly given the interconnected nature of the legal community in Amsterdam. In all instances, the Lawyer correctly identified potential conflicts and took appropriate measures to mitigate them, including declining representation where necessary.</w:t>
      </w:r>
    </w:p>
    <w:p>
      <w:pPr>
        <w:pStyle w:val="BodyText"/>
      </w:pPr>
      <w:r>
        <w:t xml:space="preserve">Additionally, the Lawyer's billing practices were reviewed. The invoices were found to be transparent, detailed, and reasonable, reflecting the actual work performed. This aligns with the Dutch requirement for clarity in fee arrangements and prevents disputes regarding legal costs.</w:t>
      </w:r>
    </w:p>
    <w:bookmarkEnd w:id="25"/>
    <w:bookmarkStart w:id="26" w:name="courtroom-conduct-and-advocacy"/>
    <w:p>
      <w:pPr>
        <w:pStyle w:val="Heading2"/>
      </w:pPr>
      <w:r>
        <w:t xml:space="preserve">6. Courtroom Conduct and Advocacy</w:t>
      </w:r>
    </w:p>
    <w:p>
      <w:pPr>
        <w:pStyle w:val="FirstParagraph"/>
      </w:pPr>
      <w:r>
        <w:t xml:space="preserve">Observations at the Rechtbank Amsterdam revealed that the Lawyer conducts themselves with professionalism and respect towards the judiciary, opposing counsel, and witnesses. The Lawyer's advocacy style is persuasive yet measured, focusing on legal arguments and evidence rather than emotional appeals. This demeanor is consistent with the expectations of the Dutch legal system, which values reasoned argumentation and procedural fairness.</w:t>
      </w:r>
    </w:p>
    <w:bookmarkEnd w:id="26"/>
    <w:bookmarkStart w:id="27" w:name="recommendations"/>
    <w:p>
      <w:pPr>
        <w:pStyle w:val="Heading2"/>
      </w:pPr>
      <w:r>
        <w:t xml:space="preserve">7. Recommendations</w:t>
      </w:r>
    </w:p>
    <w:p>
      <w:pPr>
        <w:pStyle w:val="FirstParagraph"/>
      </w:pPr>
      <w:r>
        <w:t xml:space="preserve">While the Lawyer performs at a high standard, the Peer Review Report suggests the following areas for continuous improvement:</w:t>
      </w:r>
    </w:p>
    <w:p>
      <w:pPr>
        <w:numPr>
          <w:ilvl w:val="0"/>
          <w:numId w:val="1001"/>
        </w:numPr>
        <w:pStyle w:val="Compact"/>
      </w:pPr>
      <w:r>
        <w:rPr>
          <w:bCs/>
          <w:b/>
        </w:rPr>
        <w:t xml:space="preserve">Technology Integration:</w:t>
      </w:r>
      <w:r>
        <w:t xml:space="preserve"> </w:t>
      </w:r>
      <w:r>
        <w:t xml:space="preserve">Given the digital transformation of the legal sector in Amsterdam, the Lawyer should further integrate secure digital case management tools to enhance efficiency and data security.</w:t>
      </w:r>
    </w:p>
    <w:p>
      <w:pPr>
        <w:numPr>
          <w:ilvl w:val="0"/>
          <w:numId w:val="1001"/>
        </w:numPr>
        <w:pStyle w:val="Compact"/>
      </w:pPr>
      <w:r>
        <w:rPr>
          <w:bCs/>
          <w:b/>
        </w:rPr>
        <w:t xml:space="preserve">Specialization:</w:t>
      </w:r>
      <w:r>
        <w:t xml:space="preserve"> </w:t>
      </w:r>
      <w:r>
        <w:t xml:space="preserve">Considering the competitive market in Netherlands Amsterdam, further specialization in emerging areas such as data privacy law (GDPR) or sustainable finance law could enhance the Lawyer's value proposition.</w:t>
      </w:r>
    </w:p>
    <w:bookmarkEnd w:id="27"/>
    <w:bookmarkStart w:id="28" w:name="conclusion"/>
    <w:p>
      <w:pPr>
        <w:pStyle w:val="Heading2"/>
      </w:pPr>
      <w:r>
        <w:t xml:space="preserve">8. Conclusion</w:t>
      </w:r>
    </w:p>
    <w:p>
      <w:pPr>
        <w:pStyle w:val="FirstParagraph"/>
      </w:pPr>
      <w:r>
        <w:t xml:space="preserve">In conclusion, this Peer Review Report affirms that the Lawyer under review meets and, in many aspects, exceeds the professional standards required for practice in Netherlands Amsterdam. The Lawyer demonstrates strong legal competence, ethical integrity, and a client-centered approach. The review team is confident that the Lawyer contributes positively to the reputation of the legal profession in Amsterdam and provides reliable legal services to the community. No disciplinary action is recommended based on the findings of this report.</w:t>
      </w:r>
    </w:p>
    <w:bookmarkEnd w:id="28"/>
    <w:p>
      <w:pPr>
        <w:pStyle w:val="BodyText"/>
      </w:pPr>
      <w:r>
        <w:rPr>
          <w:bCs/>
          <w:b/>
        </w:rPr>
        <w:t xml:space="preserve">Prepared by:</w:t>
      </w:r>
    </w:p>
    <w:p>
      <w:pPr>
        <w:pStyle w:val="BodyText"/>
      </w:pPr>
      <w:r>
        <w:t xml:space="preserve">Dr. J. van der Berg</w:t>
      </w:r>
    </w:p>
    <w:p>
      <w:pPr>
        <w:pStyle w:val="BodyText"/>
      </w:pPr>
      <w:r>
        <w:t xml:space="preserve">Senior Peer Reviewer</w:t>
      </w:r>
    </w:p>
    <w:p>
      <w:pPr>
        <w:pStyle w:val="BodyText"/>
      </w:pPr>
      <w:r>
        <w:t xml:space="preserve">Independent Legal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Amsterdam, Netherlands</dc:title>
  <dc:creator/>
  <dc:language>en</dc:language>
  <cp:keywords/>
  <dcterms:created xsi:type="dcterms:W3CDTF">2026-10-10T04:27:06Z</dcterms:created>
  <dcterms:modified xsi:type="dcterms:W3CDTF">2026-10-10T04:27:06Z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