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Wellington,</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Practice Management of a Lawyer</w:t>
      </w:r>
    </w:p>
    <w:p>
      <w:pPr>
        <w:pStyle w:val="BodyText"/>
      </w:pPr>
      <w:r>
        <w:rPr>
          <w:bCs/>
          <w:b/>
        </w:rPr>
        <w:t xml:space="preserve">Jurisdiction:</w:t>
      </w:r>
      <w:r>
        <w:t xml:space="preserve"> </w:t>
      </w:r>
      <w:r>
        <w:t xml:space="preserve">New Zealand Wellington</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Independent Peer Review Panel</w:t>
      </w:r>
    </w:p>
    <w:p>
      <w:pPr>
        <w:pStyle w:val="BodyText"/>
      </w:pPr>
      <w:r>
        <w:rPr>
          <w:bCs/>
          <w:b/>
        </w:rPr>
        <w:t xml:space="preserve">Reference:</w:t>
      </w:r>
      <w:r>
        <w:t xml:space="preserve"> </w:t>
      </w:r>
      <w:r>
        <w:t xml:space="preserve">NZ Law Society Peer Review Scheme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standards, ethical compliance, and operational efficiency of a Lawyer practicing within the Wellington region of New Zealand. The review is conducted in accordance with the guidelines set forth by the New Zealand Law Society and the Lawyers and Conveyancers Act 2006. The primary objective is to ensure that the Lawyer maintains the high standards of service expected by clients, the courts, and the legal profession in Wellington.</w:t>
      </w:r>
    </w:p>
    <w:p>
      <w:pPr>
        <w:pStyle w:val="BodyText"/>
      </w:pPr>
      <w:r>
        <w:t xml:space="preserve">The scope of this review encompasses case file management, client care protocols, billing practices, conflict of interest checks, and adherence to local Wellington court procedures. Wellington, as the capital city and home to the Supreme Court of New Zealand, demands a rigorous level of procedural accuracy and ethical integrity from all legal practitioners.</w:t>
      </w:r>
    </w:p>
    <w:bookmarkEnd w:id="21"/>
    <w:bookmarkStart w:id="22" w:name="regulatory-framework-and-context"/>
    <w:p>
      <w:pPr>
        <w:pStyle w:val="Heading2"/>
      </w:pPr>
      <w:r>
        <w:t xml:space="preserve">2. Regulatory Framework and Context</w:t>
      </w:r>
    </w:p>
    <w:p>
      <w:pPr>
        <w:pStyle w:val="FirstParagraph"/>
      </w:pPr>
      <w:r>
        <w:t xml:space="preserve">The practice of law in New Zealand is governed by strict regulatory frameworks. In Wellington, the legal landscape is particularly dynamic due to the presence of major government institutions, the Parliament, and high-level appellate courts. Consequently, a Lawyer operating in this jurisdiction must demonstrate not only general legal competence but also a specific understanding of Wellington’s procedural nuances.</w:t>
      </w:r>
    </w:p>
    <w:p>
      <w:pPr>
        <w:pStyle w:val="BodyText"/>
      </w:pPr>
      <w:r>
        <w:t xml:space="preserve">This Peer Review Report assesses the Lawyer against the following key pillars:</w:t>
      </w:r>
    </w:p>
    <w:p>
      <w:pPr>
        <w:numPr>
          <w:ilvl w:val="0"/>
          <w:numId w:val="1001"/>
        </w:numPr>
        <w:pStyle w:val="Compact"/>
      </w:pPr>
      <w:r>
        <w:rPr>
          <w:bCs/>
          <w:b/>
        </w:rPr>
        <w:t xml:space="preserve">Professional Conduct Rules:</w:t>
      </w:r>
      <w:r>
        <w:t xml:space="preserve"> </w:t>
      </w:r>
      <w:r>
        <w:t xml:space="preserve">Compliance with the New Zealand Law Society’s Code of Conduct.</w:t>
      </w:r>
    </w:p>
    <w:p>
      <w:pPr>
        <w:numPr>
          <w:ilvl w:val="0"/>
          <w:numId w:val="1001"/>
        </w:numPr>
        <w:pStyle w:val="Compact"/>
      </w:pPr>
      <w:r>
        <w:rPr>
          <w:bCs/>
          <w:b/>
        </w:rPr>
        <w:t xml:space="preserve">Trust Account Management:</w:t>
      </w:r>
      <w:r>
        <w:t xml:space="preserve"> </w:t>
      </w:r>
      <w:r>
        <w:t xml:space="preserve">Adherence to the Trust Account Rules 2014.</w:t>
      </w:r>
    </w:p>
    <w:p>
      <w:pPr>
        <w:numPr>
          <w:ilvl w:val="0"/>
          <w:numId w:val="1001"/>
        </w:numPr>
        <w:pStyle w:val="Compact"/>
      </w:pPr>
      <w:r>
        <w:rPr>
          <w:bCs/>
          <w:b/>
        </w:rPr>
        <w:t xml:space="preserve">Client Care:</w:t>
      </w:r>
      <w:r>
        <w:t xml:space="preserve"> </w:t>
      </w:r>
      <w:r>
        <w:t xml:space="preserve">Implementation of effective communication and service delivery strategies.</w:t>
      </w:r>
    </w:p>
    <w:p>
      <w:pPr>
        <w:numPr>
          <w:ilvl w:val="0"/>
          <w:numId w:val="1001"/>
        </w:numPr>
        <w:pStyle w:val="Compact"/>
      </w:pPr>
      <w:r>
        <w:rPr>
          <w:bCs/>
          <w:b/>
        </w:rPr>
        <w:t xml:space="preserve">Risk Management:</w:t>
      </w:r>
      <w:r>
        <w:t xml:space="preserve"> </w:t>
      </w:r>
      <w:r>
        <w:t xml:space="preserve">Identification and mitigation of professional liability risks.</w:t>
      </w:r>
    </w:p>
    <w:bookmarkEnd w:id="22"/>
    <w:bookmarkStart w:id="23" w:name="assessment-of-case-file-management"/>
    <w:p>
      <w:pPr>
        <w:pStyle w:val="Heading2"/>
      </w:pPr>
      <w:r>
        <w:t xml:space="preserve">3. Assessment of Case File Management</w:t>
      </w:r>
    </w:p>
    <w:p>
      <w:pPr>
        <w:pStyle w:val="FirstParagraph"/>
      </w:pPr>
      <w:r>
        <w:t xml:space="preserve">A critical component of this Peer Review Report is the examination of the Lawyer’s case file management systems. In Wellington, where case volumes can be high and deadlines strict, organized file management is essential. The review found that the Lawyer maintains detailed and up-to-date files for all active matters.</w:t>
      </w:r>
    </w:p>
    <w:p>
      <w:pPr>
        <w:pStyle w:val="BodyText"/>
      </w:pPr>
      <w:r>
        <w:t xml:space="preserve">Specific observations include:</w:t>
      </w:r>
    </w:p>
    <w:p>
      <w:pPr>
        <w:numPr>
          <w:ilvl w:val="0"/>
          <w:numId w:val="1002"/>
        </w:numPr>
        <w:pStyle w:val="Compact"/>
      </w:pPr>
      <w:r>
        <w:t xml:space="preserve">Files are structured logically, allowing for easy retrieval of documents during court appearances in the Wellington High Court or District Court.</w:t>
      </w:r>
    </w:p>
    <w:p>
      <w:pPr>
        <w:numPr>
          <w:ilvl w:val="0"/>
          <w:numId w:val="1002"/>
        </w:numPr>
        <w:pStyle w:val="Compact"/>
      </w:pPr>
      <w:r>
        <w:t xml:space="preserve">Chronological logs are maintained for all client interactions, ensuring a clear audit trail.</w:t>
      </w:r>
    </w:p>
    <w:p>
      <w:pPr>
        <w:numPr>
          <w:ilvl w:val="0"/>
          <w:numId w:val="1002"/>
        </w:numPr>
        <w:pStyle w:val="Compact"/>
      </w:pPr>
      <w:r>
        <w:t xml:space="preserve">Confidentiality measures are robust, with digital files encrypted and physical files stored in secure locations within the Wellington office.</w:t>
      </w:r>
    </w:p>
    <w:p>
      <w:pPr>
        <w:pStyle w:val="FirstParagraph"/>
      </w:pPr>
      <w:r>
        <w:t xml:space="preserve">However, the report notes a minor area for improvement: the standardization of file naming conventions across different practice areas to enhance consistency.</w:t>
      </w:r>
    </w:p>
    <w:bookmarkEnd w:id="23"/>
    <w:bookmarkStart w:id="24" w:name="client-care-and-communication"/>
    <w:p>
      <w:pPr>
        <w:pStyle w:val="Heading2"/>
      </w:pPr>
      <w:r>
        <w:t xml:space="preserve">4. Client Care and Communication</w:t>
      </w:r>
    </w:p>
    <w:p>
      <w:pPr>
        <w:pStyle w:val="FirstParagraph"/>
      </w:pPr>
      <w:r>
        <w:t xml:space="preserve">Effective communication is a cornerstone of legal practice in New Zealand. This Peer Review Report evaluates how the Lawyer engages with clients in the Wellington market. The Lawyer demonstrates a strong commitment to client care, ensuring that clients are informed about the progress of their matters and the associated costs.</w:t>
      </w:r>
    </w:p>
    <w:p>
      <w:pPr>
        <w:pStyle w:val="BodyText"/>
      </w:pPr>
      <w:r>
        <w:t xml:space="preserve">Key strengths identified include:</w:t>
      </w:r>
    </w:p>
    <w:p>
      <w:pPr>
        <w:numPr>
          <w:ilvl w:val="0"/>
          <w:numId w:val="1003"/>
        </w:numPr>
        <w:pStyle w:val="Compact"/>
      </w:pPr>
      <w:r>
        <w:t xml:space="preserve">Timely responses to client inquiries, typically within 24 hours.</w:t>
      </w:r>
    </w:p>
    <w:p>
      <w:pPr>
        <w:numPr>
          <w:ilvl w:val="0"/>
          <w:numId w:val="1003"/>
        </w:numPr>
        <w:pStyle w:val="Compact"/>
      </w:pPr>
      <w:r>
        <w:t xml:space="preserve">Clear explanation of legal concepts, avoiding unnecessary jargon.</w:t>
      </w:r>
    </w:p>
    <w:p>
      <w:pPr>
        <w:numPr>
          <w:ilvl w:val="0"/>
          <w:numId w:val="1003"/>
        </w:numPr>
        <w:pStyle w:val="Compact"/>
      </w:pPr>
      <w:r>
        <w:t xml:space="preserve">Proactive updates on case developments, particularly in time-sensitive matters such as family law or commercial disputes.</w:t>
      </w:r>
    </w:p>
    <w:p>
      <w:pPr>
        <w:pStyle w:val="FirstParagraph"/>
      </w:pPr>
      <w:r>
        <w:t xml:space="preserve">The Lawyer’s approach aligns well with the expectations of Wellington clients, who often require a blend of professional expertise and personalized service.</w:t>
      </w:r>
    </w:p>
    <w:bookmarkEnd w:id="24"/>
    <w:bookmarkStart w:id="25" w:name="Xa5949c94118b6bf3cffc71d59f87ad115c27f17"/>
    <w:p>
      <w:pPr>
        <w:pStyle w:val="Heading2"/>
      </w:pPr>
      <w:r>
        <w:t xml:space="preserve">5. Billing Practices and Financial Management</w:t>
      </w:r>
    </w:p>
    <w:p>
      <w:pPr>
        <w:pStyle w:val="FirstParagraph"/>
      </w:pPr>
      <w:r>
        <w:t xml:space="preserve">Transparency in billing is a significant focus of this Peer Review Report. The Lawyer’s billing practices were reviewed to ensure compliance with the Lawyers and Conveyancers Act 2006. The review confirms that the Lawyer provides clear fee agreements at the outset of each engagement.</w:t>
      </w:r>
    </w:p>
    <w:p>
      <w:pPr>
        <w:pStyle w:val="BodyText"/>
      </w:pPr>
      <w:r>
        <w:t xml:space="preserve">Invoices are detailed, itemizing time spent and disbursements incurred. This level of transparency is particularly important in Wellington, where clients may be scrutinizing legal costs due to the competitive nature of the legal market. The Lawyer also demonstrates diligence in managing trust accounts, with regular reconciliations performed to ensure accuracy and compliance with New Zealand Law Society requirements.</w:t>
      </w:r>
    </w:p>
    <w:bookmarkEnd w:id="25"/>
    <w:bookmarkStart w:id="26" w:name="Xbfefae13f4e8fc80d41d0b7e7cc4a626241f116"/>
    <w:p>
      <w:pPr>
        <w:pStyle w:val="Heading2"/>
      </w:pPr>
      <w:r>
        <w:t xml:space="preserve">6. Conflict of Interest and Ethical Compliance</w:t>
      </w:r>
    </w:p>
    <w:p>
      <w:pPr>
        <w:pStyle w:val="FirstParagraph"/>
      </w:pPr>
      <w:r>
        <w:t xml:space="preserve">Ethical compliance is paramount for any Lawyer in New Zealand. This Peer Review Report assesses the Lawyer’s procedures for identifying and managing conflicts of interest. The Lawyer employs a robust conflict check system, which is updated before accepting new instructions.</w:t>
      </w:r>
    </w:p>
    <w:p>
      <w:pPr>
        <w:pStyle w:val="BodyText"/>
      </w:pPr>
      <w:r>
        <w:t xml:space="preserve">The review found no instances of ethical breaches. The Lawyer demonstrates a strong understanding of the Professional Conduct Rules and applies them consistently in practice. This is particularly commendable given the complex web of relationships often encountered in Wellington’s legal and business communities.</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Lawyer is deemed to be practicing at a standard that meets the requirements of the New Zealand Law Society and the expectations of clients in Wellington. The Lawyer exhibits strong professional competence, ethical integrity, and effective practice management.</w:t>
      </w:r>
    </w:p>
    <w:p>
      <w:pPr>
        <w:pStyle w:val="BodyText"/>
      </w:pPr>
      <w:r>
        <w:t xml:space="preserve">Recommendations for further improvement include:</w:t>
      </w:r>
    </w:p>
    <w:p>
      <w:pPr>
        <w:numPr>
          <w:ilvl w:val="0"/>
          <w:numId w:val="1004"/>
        </w:numPr>
        <w:pStyle w:val="Compact"/>
      </w:pPr>
      <w:r>
        <w:t xml:space="preserve">Standardizing file naming conventions across all practice areas.</w:t>
      </w:r>
    </w:p>
    <w:p>
      <w:pPr>
        <w:numPr>
          <w:ilvl w:val="0"/>
          <w:numId w:val="1004"/>
        </w:numPr>
        <w:pStyle w:val="Compact"/>
      </w:pPr>
      <w:r>
        <w:t xml:space="preserve">Implementing additional training on emerging legal technologies to enhance efficiency.</w:t>
      </w:r>
    </w:p>
    <w:p>
      <w:pPr>
        <w:numPr>
          <w:ilvl w:val="0"/>
          <w:numId w:val="1004"/>
        </w:numPr>
        <w:pStyle w:val="Compact"/>
      </w:pPr>
      <w:r>
        <w:t xml:space="preserve">Continuing professional development focused on Wellington-specific procedural updates.</w:t>
      </w:r>
    </w:p>
    <w:p>
      <w:pPr>
        <w:pStyle w:val="FirstParagraph"/>
      </w:pPr>
      <w:r>
        <w:t xml:space="preserve">In conclusion, this Peer Review Report affirms that the Lawyer is well-equipped to provide high-quality legal services in New Zealand Wellington. The Lawyer’s commitment to excellence and adherence to professional standards contribute positively to the reputation of the legal profession in the region.</w:t>
      </w:r>
    </w:p>
    <w:bookmarkEnd w:id="27"/>
    <w:p>
      <w:pPr>
        <w:pStyle w:val="BodyText"/>
      </w:pPr>
      <w:r>
        <w:t xml:space="preserve">This Peer Review Report is confidential and intended solely for the use of the Lawyer and the New Zealand Law Society. Unauthorized distribution is prohibited.</w:t>
      </w:r>
    </w:p>
    <w:p>
      <w:pPr>
        <w:pStyle w:val="BodyText"/>
      </w:pPr>
      <w:r>
        <w:t xml:space="preserve">© 2023 Independent Peer Review Panel.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Wellington, New Zealand</dc:title>
  <dc:creator/>
  <dc:language>en</dc:language>
  <cp:keywords/>
  <dcterms:created xsi:type="dcterms:W3CDTF">2026-10-10T02:46:23Z</dcterms:created>
  <dcterms:modified xsi:type="dcterms:W3CDTF">2026-10-10T02:46:23Z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