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Jeddah</w:t>
      </w:r>
    </w:p>
    <w:bookmarkStart w:id="28"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w:t>
      </w:r>
      <w:r>
        <w:br/>
      </w:r>
      <w:r>
        <w:rPr>
          <w:bCs/>
          <w:b/>
        </w:rPr>
        <w:t xml:space="preserve">Location:</w:t>
      </w:r>
      <w:r>
        <w:t xml:space="preserve"> </w:t>
      </w:r>
      <w:r>
        <w:t xml:space="preserve">Jeddah, Saudi Arabia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Regulatory Context:</w:t>
      </w:r>
      <w:r>
        <w:t xml:space="preserve"> </w:t>
      </w:r>
      <w:r>
        <w:t xml:space="preserve">Saudi Ministry of Justice &amp; SBA</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ethical adherence, and operational efficiency of a practicing Lawyer within the jurisdiction of Jeddah, Saudi Arabia. The purpose of this document is to assess the subject's alignment with the rigorous standards mandated by the Saudi Ministry of Justice and the Saudi Bar Association (SBA). As Jeddah continues to emerge as a premier commercial hub in the Kingdom, the demand for high-caliber legal counsel has intensified. Consequently, this review scrutinizes the Lawyer's ability to navigate the complex intersection of Sharia law, modern statutory regulations, and international commercial practices.</w:t>
      </w:r>
    </w:p>
    <w:bookmarkEnd w:id="20"/>
    <w:bookmarkStart w:id="21" w:name="X59731f1c9c0cc22eb26ce947827dbff5368edf4"/>
    <w:p>
      <w:pPr>
        <w:pStyle w:val="Heading2"/>
      </w:pPr>
      <w:r>
        <w:t xml:space="preserve">2. Contextual Framework: The Legal Landscape of Jeddah</w:t>
      </w:r>
    </w:p>
    <w:p>
      <w:pPr>
        <w:pStyle w:val="FirstParagraph"/>
      </w:pPr>
      <w:r>
        <w:t xml:space="preserve">To accurately evaluate a Lawyer in Saudi Arabia, one must understand the unique legal environment of Jeddah. As the gateway to the Holy Mosque of Makkah and a major port city, Jeddah hosts a diverse array of multinational corporations, construction firms, and trade entities. The legal practitioner operating here is not merely an advisor but a critical facilitator of economic activity.</w:t>
      </w:r>
    </w:p>
    <w:p>
      <w:pPr>
        <w:pStyle w:val="BodyText"/>
      </w:pPr>
      <w:r>
        <w:t xml:space="preserve">The review considers the Lawyer's proficiency in the recently implemented Civil Transactions Law and the Commercial Courts Law. These legislative milestones have shifted the legal paradigm in Saudi Arabia from a purely Sharia-based discretionary system to a more codified, predictable framework. A competent Lawyer in Jeddah must demonstrate fluency in these new codes while maintaining deep respect for Islamic jurisprudence, which remains the foundation of the Kingdom's legal system.</w:t>
      </w:r>
    </w:p>
    <w:bookmarkEnd w:id="21"/>
    <w:bookmarkStart w:id="24" w:name="X87bddd53d34716b77826f19c9ddf586176b70c3"/>
    <w:p>
      <w:pPr>
        <w:pStyle w:val="Heading2"/>
      </w:pPr>
      <w:r>
        <w:t xml:space="preserve">3. Assessment of Legal Competence and Technical Knowledge</w:t>
      </w:r>
    </w:p>
    <w:bookmarkStart w:id="22" w:name="X781da13e88af8ecfd94018e911a9ea1b54857f5"/>
    <w:p>
      <w:pPr>
        <w:pStyle w:val="Heading3"/>
      </w:pPr>
      <w:r>
        <w:t xml:space="preserve">3.1. Mastery of Statutory Law and Sharia Principles</w:t>
      </w:r>
    </w:p>
    <w:p>
      <w:pPr>
        <w:pStyle w:val="FirstParagraph"/>
      </w:pPr>
      <w:r>
        <w:t xml:space="preserve">The primary criterion for this Peer Review Report is the Lawyer's technical knowledge. The assessment indicates that the subject possesses a robust understanding of the Saudi legal hierarchy. Specifically, the Lawyer demonstrates the ability to interpret Sharia principles in a manner that is consistent with contemporary commercial needs. This is vital in Jeddah, where disputes often involve cross-border contracts, real estate development, and corporate governance.</w:t>
      </w:r>
    </w:p>
    <w:p>
      <w:pPr>
        <w:pStyle w:val="BodyText"/>
      </w:pPr>
      <w:r>
        <w:t xml:space="preserve">The review highlights the Lawyer's success in handling cases within the specialized commercial courts in Jeddah. The ability to draft pleadings that satisfy both the procedural requirements of the Ministry of Justice and the substantive expectations of the judiciary is a key indicator of competence. The Lawyer has shown particular strength in contract law, ensuring that agreements are enforceable under Saudi law while protecting the interests of foreign investors.</w:t>
      </w:r>
    </w:p>
    <w:bookmarkEnd w:id="22"/>
    <w:bookmarkStart w:id="23" w:name="X90612c99008ad6cd957faee72af950803d848c7"/>
    <w:p>
      <w:pPr>
        <w:pStyle w:val="Heading3"/>
      </w:pPr>
      <w:r>
        <w:t xml:space="preserve">3.2. Procedural Efficiency and Litigation Strategy</w:t>
      </w:r>
    </w:p>
    <w:p>
      <w:pPr>
        <w:pStyle w:val="FirstParagraph"/>
      </w:pPr>
      <w:r>
        <w:t xml:space="preserve">Efficiency is paramount in the fast-paced business environment of Jeddah. This report evaluates the Lawyer's case management skills, including the timely filing of documents, adherence to court deadlines, and effective use of the "Najm" and "Absher" legal portals. The Lawyer has been commended for their strategic approach to litigation, often prioritizing alternative dispute resolution (ADR) mechanisms such as mediation and arbitration, which are increasingly favored in Saudi Arabia to reduce court congestion.</w:t>
      </w:r>
    </w:p>
    <w:bookmarkEnd w:id="23"/>
    <w:bookmarkEnd w:id="24"/>
    <w:bookmarkStart w:id="25" w:name="X4ce211acb8b02978b825403f312638d11fa1afd"/>
    <w:p>
      <w:pPr>
        <w:pStyle w:val="Heading2"/>
      </w:pPr>
      <w:r>
        <w:t xml:space="preserve">4. Ethical Standards and Professional Conduct</w:t>
      </w:r>
    </w:p>
    <w:p>
      <w:pPr>
        <w:pStyle w:val="FirstParagraph"/>
      </w:pPr>
      <w:r>
        <w:t xml:space="preserve">Integrity is the cornerstone of the legal profession in Saudi Arabia. This Peer Review Report places significant weight on the Lawyer's adherence to the Code of Professional Conduct established by the Saudi Bar Association. The review confirms that the Lawyer maintains strict confidentiality regarding client information, avoids conflicts of interest, and treats opposing counsel and judicial officers with the requisite respect.</w:t>
      </w:r>
    </w:p>
    <w:p>
      <w:pPr>
        <w:pStyle w:val="BodyText"/>
      </w:pPr>
      <w:r>
        <w:t xml:space="preserve">Furthermore, the Lawyer's conduct reflects the cultural values of the Kingdom. In Jeddah, where business relationships are deeply personal, the Lawyer's ability to build trust while maintaining professional boundaries is essential. The review notes that the Lawyer has never faced disciplinary action and is regarded by peers as a model of professional ethics.</w:t>
      </w:r>
    </w:p>
    <w:bookmarkEnd w:id="25"/>
    <w:bookmarkStart w:id="26" w:name="client-relations-and-communication"/>
    <w:p>
      <w:pPr>
        <w:pStyle w:val="Heading2"/>
      </w:pPr>
      <w:r>
        <w:t xml:space="preserve">5. Client Relations and Communication</w:t>
      </w:r>
    </w:p>
    <w:p>
      <w:pPr>
        <w:pStyle w:val="FirstParagraph"/>
      </w:pPr>
      <w:r>
        <w:t xml:space="preserve">A Lawyer in Jeddah often serves a multicultural clientele, including Saudi nationals, expatriates, and international entities. This report assesses the Lawyer's communication skills, noting their proficiency in both Arabic and English. The ability to explain complex legal concepts in clear, accessible language is crucial for client satisfaction.</w:t>
      </w:r>
    </w:p>
    <w:p>
      <w:pPr>
        <w:pStyle w:val="BodyText"/>
      </w:pPr>
      <w:r>
        <w:t xml:space="preserve">The Lawyer has demonstrated a client-centric approach, providing regular updates on case progress and offering proactive legal advice rather than merely reactive services. This proactive stance is particularly valuable in the regulatory environment of Saudi Arabia, where laws are evolving rapidly under Vision 2030 initiatives.</w:t>
      </w:r>
    </w:p>
    <w:bookmarkEnd w:id="26"/>
    <w:bookmarkStart w:id="27" w:name="recommendations-and-conclusion"/>
    <w:p>
      <w:pPr>
        <w:pStyle w:val="Heading2"/>
      </w:pPr>
      <w:r>
        <w:t xml:space="preserve">6. Recommendations and Conclusion</w:t>
      </w:r>
    </w:p>
    <w:p>
      <w:pPr>
        <w:pStyle w:val="FirstParagraph"/>
      </w:pPr>
      <w:r>
        <w:rPr>
          <w:bCs/>
          <w:b/>
        </w:rPr>
        <w:t xml:space="preserve">Overall Rating:</w:t>
      </w:r>
      <w:r>
        <w:t xml:space="preserve"> </w:t>
      </w:r>
      <w:r>
        <w:t xml:space="preserve">Highly Competent and Ethical</w:t>
      </w:r>
      <w:r>
        <w:br/>
      </w:r>
      <w:r>
        <w:rPr>
          <w:bCs/>
          <w:b/>
        </w:rPr>
        <w:t xml:space="preserve">Status:</w:t>
      </w:r>
      <w:r>
        <w:t xml:space="preserve"> </w:t>
      </w:r>
      <w:r>
        <w:t xml:space="preserve">Recommended for Continued Practice and Leadership Roles</w:t>
      </w:r>
    </w:p>
    <w:p>
      <w:pPr>
        <w:pStyle w:val="BodyText"/>
      </w:pPr>
      <w:r>
        <w:t xml:space="preserve">Based on the comprehensive evaluation detailed in this Peer Review Report, the Lawyer under review is deemed fully competent to practice law in Jeddah, Saudi Arabia. The subject exhibits a rare combination of traditional legal scholarship and modern commercial acumen.</w:t>
      </w:r>
    </w:p>
    <w:p>
      <w:pPr>
        <w:pStyle w:val="BodyText"/>
      </w:pPr>
      <w:r>
        <w:t xml:space="preserve">It is recommended that the Lawyer continue to engage in continuing legal education (CLE) programs offered by the Saudi Bar Association to stay abreast of new regulations. Additionally, given their expertise, the Lawyer is encouraged to mentor junior associates and contribute to the development of legal standards in the region.</w:t>
      </w:r>
    </w:p>
    <w:p>
      <w:pPr>
        <w:pStyle w:val="BodyText"/>
      </w:pPr>
      <w:r>
        <w:t xml:space="preserve">In conclusion, this Lawyer represents the high standards expected of legal professionals in Saudi Arabia. Their practice in Jeddah contributes positively to the rule of law and the economic development of the Kingdom. This report serves as a testament to their dedication, skill, and integrity.</w:t>
      </w:r>
    </w:p>
    <w:p>
      <w:pPr>
        <w:pStyle w:val="BodyText"/>
      </w:pPr>
      <w:r>
        <w:rPr>
          <w:bCs/>
          <w:b/>
        </w:rPr>
        <w:t xml:space="preserve">Prepared by:</w:t>
      </w:r>
      <w:r>
        <w:br/>
      </w:r>
      <w:r>
        <w:t xml:space="preserve">Senior Peer Review Committee</w:t>
      </w:r>
      <w:r>
        <w:br/>
      </w:r>
      <w:r>
        <w:t xml:space="preserve">Saudi Bar Association - Jeddah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Jeddah</dc:title>
  <dc:creator/>
  <dc:language>en</dc:language>
  <cp:keywords/>
  <dcterms:created xsi:type="dcterms:W3CDTF">2026-10-10T02:44:57Z</dcterms:created>
  <dcterms:modified xsi:type="dcterms:W3CDTF">2026-10-10T02:44:57Z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