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Legal</w:t>
      </w:r>
      <w:r>
        <w:t xml:space="preserve"> </w:t>
      </w:r>
      <w:r>
        <w:t xml:space="preserve">Practice</w:t>
      </w:r>
      <w:r>
        <w:t xml:space="preserve"> </w:t>
      </w:r>
      <w:r>
        <w:t xml:space="preserve">in</w:t>
      </w:r>
      <w:r>
        <w:t xml:space="preserve"> </w:t>
      </w:r>
      <w:r>
        <w:t xml:space="preserve">Riyadh,</w:t>
      </w:r>
      <w:r>
        <w:t xml:space="preserve"> </w:t>
      </w:r>
      <w:r>
        <w:t xml:space="preserve">Saudi</w:t>
      </w:r>
      <w:r>
        <w:t xml:space="preserve"> </w:t>
      </w:r>
      <w:r>
        <w:t xml:space="preserve">Arabia</w:t>
      </w:r>
    </w:p>
    <w:bookmarkStart w:id="29" w:name="X290a046bde47b7f99d23f8e99d631e985ca3a41"/>
    <w:p>
      <w:pPr>
        <w:pStyle w:val="Heading1"/>
      </w:pPr>
      <w:r>
        <w:t xml:space="preserve">Peer Review Report: Professional Competence and Practice Standards</w:t>
      </w:r>
    </w:p>
    <w:p>
      <w:pPr>
        <w:pStyle w:val="FirstParagraph"/>
      </w:pPr>
      <w:r>
        <w:rPr>
          <w:bCs/>
          <w:b/>
        </w:rPr>
        <w:t xml:space="preserve">Subject:</w:t>
      </w:r>
      <w:r>
        <w:t xml:space="preserve"> </w:t>
      </w:r>
      <w:r>
        <w:t xml:space="preserve">Evaluation of Legal Practice Standards</w:t>
      </w:r>
      <w:r>
        <w:br/>
      </w:r>
      <w:r>
        <w:rPr>
          <w:bCs/>
          <w:b/>
        </w:rPr>
        <w:t xml:space="preserve">Role:</w:t>
      </w:r>
      <w:r>
        <w:t xml:space="preserve"> </w:t>
      </w:r>
      <w:r>
        <w:t xml:space="preserve">Lawyer</w:t>
      </w:r>
      <w:r>
        <w:br/>
      </w:r>
      <w:r>
        <w:rPr>
          <w:bCs/>
          <w:b/>
        </w:rPr>
        <w:t xml:space="preserve">Location:</w:t>
      </w:r>
      <w:r>
        <w:t xml:space="preserve"> </w:t>
      </w:r>
      <w:r>
        <w:t xml:space="preserve">Saudi Arabia, Riyadh</w:t>
      </w:r>
    </w:p>
    <w:p>
      <w:pPr>
        <w:pStyle w:val="BodyText"/>
      </w:pPr>
      <w:r>
        <w:rPr>
          <w:bCs/>
          <w:b/>
        </w:rPr>
        <w:t xml:space="preserve">Date:</w:t>
      </w:r>
      <w:r>
        <w:t xml:space="preserve"> </w:t>
      </w:r>
      <w:r>
        <w:t xml:space="preserve">October 26, 2023</w:t>
      </w:r>
      <w:r>
        <w:br/>
      </w:r>
      <w:r>
        <w:rPr>
          <w:bCs/>
          <w:b/>
        </w:rPr>
        <w:t xml:space="preserve">Review Type:</w:t>
      </w:r>
      <w:r>
        <w:t xml:space="preserve"> </w:t>
      </w:r>
      <w:r>
        <w:t xml:space="preserve">Comprehensive Peer Assessment</w:t>
      </w:r>
      <w:r>
        <w:br/>
      </w:r>
      <w:r>
        <w:rPr>
          <w:bCs/>
          <w:b/>
        </w:rPr>
        <w:t xml:space="preserve">Status:</w:t>
      </w:r>
      <w:r>
        <w:t xml:space="preserve"> </w:t>
      </w:r>
      <w:r>
        <w:t xml:space="preserve">Finalized</w:t>
      </w:r>
    </w:p>
    <w:bookmarkStart w:id="20" w:name="executive-summary"/>
    <w:p>
      <w:pPr>
        <w:pStyle w:val="Heading2"/>
      </w:pPr>
      <w:r>
        <w:t xml:space="preserve">1. Executive Summary</w:t>
      </w:r>
    </w:p>
    <w:p>
      <w:pPr>
        <w:pStyle w:val="FirstParagraph"/>
      </w:pPr>
      <w:r>
        <w:t xml:space="preserve">This Peer Review Report has been commissioned to evaluate the professional standards, ethical compliance, and technical competence of a practicing Lawyer within the Kingdom of Saudi Arabia, specifically focusing on the jurisdiction of Riyadh. As the capital city and the primary hub for commercial and legal activity in the region, Riyadh presents a unique and rapidly evolving legal landscape. This report assesses the subject's ability to navigate the complex intersection of Sharia law, modern statutory regulations, and international commercial practices that define the current legal environment in Saudi Arabia Riyadh.</w:t>
      </w:r>
    </w:p>
    <w:p>
      <w:pPr>
        <w:pStyle w:val="BodyText"/>
      </w:pPr>
      <w:r>
        <w:t xml:space="preserve">The review process involved a detailed examination of case files, client correspondence, court submissions, and adherence to the regulations set forth by the Saudi Ministry of Justice and the Saudi Center for Commercial Arbitration (SCCA). The overarching goal is to ensure that the Lawyer maintains the highest standards of professional integrity and delivers effective legal representation in one of the world's most dynamic legal markets.</w:t>
      </w:r>
    </w:p>
    <w:bookmarkEnd w:id="20"/>
    <w:bookmarkStart w:id="21" w:name="X8ed25c83df6a0e7c887e4fd4c75ef5fa74e385d"/>
    <w:p>
      <w:pPr>
        <w:pStyle w:val="Heading2"/>
      </w:pPr>
      <w:r>
        <w:t xml:space="preserve">2. Contextual Framework: The Legal Landscape of Riyadh</w:t>
      </w:r>
    </w:p>
    <w:p>
      <w:pPr>
        <w:pStyle w:val="FirstParagraph"/>
      </w:pPr>
      <w:r>
        <w:t xml:space="preserve">To accurately assess the performance of a Lawyer in Saudi Arabia Riyadh, one must first acknowledge the profound legal reforms currently underway. The Kingdom is undergoing a significant transformation under Vision 2030, which has necessitated the codification of various laws previously governed solely by judicial discretion under Sharia principles.</w:t>
      </w:r>
    </w:p>
    <w:p>
      <w:pPr>
        <w:pStyle w:val="BodyText"/>
      </w:pPr>
      <w:r>
        <w:t xml:space="preserve">Riyadh serves as the epicenter of this transformation. The city hosts the Supreme Court, the Ministry of Justice, and the majority of international law firms establishing a presence in the Kingdom. Consequently, a Lawyer practicing in this jurisdiction must possess a dual competency: a deep understanding of Islamic jurisprudence (Fiqh) and a robust grasp of newly enacted civil, commercial, and labor codes. This Peer Review Report evaluates how effectively the subject integrates these diverse legal sources to serve clients in Riyadh.</w:t>
      </w:r>
    </w:p>
    <w:bookmarkEnd w:id="21"/>
    <w:bookmarkStart w:id="24" w:name="assessment-of-technical-competence"/>
    <w:p>
      <w:pPr>
        <w:pStyle w:val="Heading2"/>
      </w:pPr>
      <w:r>
        <w:t xml:space="preserve">3. Assessment of Technical Competence</w:t>
      </w:r>
    </w:p>
    <w:bookmarkStart w:id="22" w:name="knowledge-of-statutory-law-and-sharia"/>
    <w:p>
      <w:pPr>
        <w:pStyle w:val="Heading3"/>
      </w:pPr>
      <w:r>
        <w:t xml:space="preserve">3.1. Knowledge of Statutory Law and Sharia</w:t>
      </w:r>
    </w:p>
    <w:p>
      <w:pPr>
        <w:pStyle w:val="FirstParagraph"/>
      </w:pPr>
      <w:r>
        <w:t xml:space="preserve">The review indicates that the Lawyer demonstrates a strong command of the legal framework governing Saudi Arabia Riyadh. Specifically, the subject has shown proficiency in applying the Civil Transactions Law and the Commercial Courts Law. The ability to cite relevant articles from these new codes while maintaining alignment with Sharia principles is critical. The files reviewed show that the Lawyer successfully navigates complex contractual disputes by balancing statutory requirements with religious legal norms, a skill that is indispensable for practice in Riyadh.</w:t>
      </w:r>
    </w:p>
    <w:bookmarkEnd w:id="22"/>
    <w:bookmarkStart w:id="23" w:name="litigation-and-dispute-resolution"/>
    <w:p>
      <w:pPr>
        <w:pStyle w:val="Heading3"/>
      </w:pPr>
      <w:r>
        <w:t xml:space="preserve">3.2. Litigation and Dispute Resolution</w:t>
      </w:r>
    </w:p>
    <w:p>
      <w:pPr>
        <w:pStyle w:val="FirstParagraph"/>
      </w:pPr>
      <w:r>
        <w:t xml:space="preserve">Litigation in Riyadh requires precision and an understanding of procedural nuances. The Peer Review Report highlights the Lawyer's effectiveness in drafting pleadings and motions for the Commercial Courts. The subject's submissions are characterized by clarity, logical structure, and accurate legal reasoning. Furthermore, the Lawyer has demonstrated competence in alternative dispute resolution mechanisms, particularly arbitration, which is increasingly preferred by multinational corporations operating in Saudi Arabia Riyadh.</w:t>
      </w:r>
    </w:p>
    <w:bookmarkEnd w:id="23"/>
    <w:bookmarkEnd w:id="24"/>
    <w:bookmarkStart w:id="25" w:name="X4ce211acb8b02978b825403f312638d11fa1afd"/>
    <w:p>
      <w:pPr>
        <w:pStyle w:val="Heading2"/>
      </w:pPr>
      <w:r>
        <w:t xml:space="preserve">4. Ethical Standards and Professional Conduct</w:t>
      </w:r>
    </w:p>
    <w:p>
      <w:pPr>
        <w:pStyle w:val="FirstParagraph"/>
      </w:pPr>
      <w:r>
        <w:t xml:space="preserve">Adherence to ethical standards is paramount for any Lawyer. In the context of Saudi Arabia, this includes compliance with the regulations of the Saudi Bar Association and the Ministry of Justice. This Peer Review Report confirms that the subject maintains strict confidentiality regarding client information and avoids conflicts of interest.</w:t>
      </w:r>
    </w:p>
    <w:p>
      <w:pPr>
        <w:pStyle w:val="BodyText"/>
      </w:pPr>
      <w:r>
        <w:t xml:space="preserve">The review also examined the Lawyer's interactions with judicial authorities in Riyadh. The subject has maintained a professional and respectful demeanor, adhering to the protocols expected within the Saudi judicial system. There were no instances of misconduct, misrepresentation, or unethical billing practices identified during this assessment.</w:t>
      </w:r>
    </w:p>
    <w:bookmarkEnd w:id="25"/>
    <w:bookmarkStart w:id="26" w:name="client-service-and-communication"/>
    <w:p>
      <w:pPr>
        <w:pStyle w:val="Heading2"/>
      </w:pPr>
      <w:r>
        <w:t xml:space="preserve">5. Client Service and Communication</w:t>
      </w:r>
    </w:p>
    <w:p>
      <w:pPr>
        <w:pStyle w:val="FirstParagraph"/>
      </w:pPr>
      <w:r>
        <w:t xml:space="preserve">Effective communication is a cornerstone of legal practice. Given the diverse clientele in Riyadh, which includes local Saudi nationals, expatriates, and international entities, a Lawyer must be culturally sensitive and linguistically proficient. This Peer Review Report notes that the subject excels in managing client expectations and providing clear, actionable legal advice.</w:t>
      </w:r>
    </w:p>
    <w:p>
      <w:pPr>
        <w:pStyle w:val="BodyText"/>
      </w:pPr>
      <w:r>
        <w:t xml:space="preserve">The Lawyer's ability to explain complex legal concepts in both Arabic and English is particularly valuable in Saudi Arabia Riyadh, where cross-border transactions are common. The review found that client feedback was overwhelmingly positive, citing the subject's responsiveness and dedication to achieving favorable outcomes.</w:t>
      </w:r>
    </w:p>
    <w:bookmarkEnd w:id="26"/>
    <w:bookmarkStart w:id="27" w:name="Xda79409093af40bd3d15ed7d2a5582dbca223f1"/>
    <w:p>
      <w:pPr>
        <w:pStyle w:val="Heading2"/>
      </w:pPr>
      <w:r>
        <w:t xml:space="preserve">6. Areas for Improvement and Recommendations</w:t>
      </w:r>
    </w:p>
    <w:p>
      <w:pPr>
        <w:pStyle w:val="FirstParagraph"/>
      </w:pPr>
      <w:r>
        <w:t xml:space="preserve">While the overall assessment is highly favorable, this Peer Review Report identifies a few areas for continued development:</w:t>
      </w:r>
    </w:p>
    <w:p>
      <w:pPr>
        <w:numPr>
          <w:ilvl w:val="0"/>
          <w:numId w:val="1001"/>
        </w:numPr>
        <w:pStyle w:val="Compact"/>
      </w:pPr>
      <w:r>
        <w:rPr>
          <w:bCs/>
          <w:b/>
        </w:rPr>
        <w:t xml:space="preserve">Specialization in Emerging Sectors:</w:t>
      </w:r>
      <w:r>
        <w:t xml:space="preserve"> </w:t>
      </w:r>
      <w:r>
        <w:t xml:space="preserve">As Riyadh expands its sectors in entertainment, tourism, and technology, the Lawyer is encouraged to deepen their expertise in the regulatory frameworks governing these industries.</w:t>
      </w:r>
    </w:p>
    <w:p>
      <w:pPr>
        <w:numPr>
          <w:ilvl w:val="0"/>
          <w:numId w:val="1001"/>
        </w:numPr>
        <w:pStyle w:val="Compact"/>
      </w:pPr>
      <w:r>
        <w:rPr>
          <w:bCs/>
          <w:b/>
        </w:rPr>
        <w:t xml:space="preserve">Technology Integration:</w:t>
      </w:r>
      <w:r>
        <w:t xml:space="preserve"> </w:t>
      </w:r>
      <w:r>
        <w:t xml:space="preserve">The Saudi Ministry of Justice is increasingly digitizing court processes. The Lawyer should further enhance their proficiency with electronic filing systems and legal tech tools to improve efficiency.</w:t>
      </w:r>
    </w:p>
    <w:p>
      <w:pPr>
        <w:numPr>
          <w:ilvl w:val="0"/>
          <w:numId w:val="1001"/>
        </w:numPr>
        <w:pStyle w:val="Compact"/>
      </w:pPr>
      <w:r>
        <w:rPr>
          <w:bCs/>
          <w:b/>
        </w:rPr>
        <w:t xml:space="preserve">Continuous Professional Development:</w:t>
      </w:r>
      <w:r>
        <w:t xml:space="preserve"> </w:t>
      </w:r>
      <w:r>
        <w:t xml:space="preserve">Given the rapid pace of legislative change in Saudi Arabia Riyadh, ongoing training and certification in new laws are recommended to maintain peak competence.</w:t>
      </w:r>
    </w:p>
    <w:bookmarkEnd w:id="27"/>
    <w:bookmarkStart w:id="28" w:name="conclusion"/>
    <w:p>
      <w:pPr>
        <w:pStyle w:val="Heading2"/>
      </w:pPr>
      <w:r>
        <w:t xml:space="preserve">7. Conclusion</w:t>
      </w:r>
    </w:p>
    <w:p>
      <w:pPr>
        <w:pStyle w:val="FirstParagraph"/>
      </w:pPr>
      <w:r>
        <w:t xml:space="preserve">In conclusion, this Peer Review Report affirms that the Lawyer under review meets and often exceeds the professional standards required for practice in Saudi Arabia Riyadh. The subject possesses the technical knowledge, ethical integrity, and practical skills necessary to navigate the complex legal environment of the Kingdom's capital. The Lawyer's commitment to excellence and adaptability to the evolving legal landscape makes them a valuable asset to the legal community in Riyadh.</w:t>
      </w:r>
    </w:p>
    <w:p>
      <w:pPr>
        <w:pStyle w:val="BodyText"/>
      </w:pPr>
      <w:r>
        <w:t xml:space="preserve">It is the recommendation of this review panel that the Lawyer continues their current trajectory of professional growth, with a focus on the specialized areas identified above. This report serves as a testament to the high quality of legal services provided and reinforces the confidence of clients and peers alike in the subject's capabilities.</w:t>
      </w:r>
    </w:p>
    <w:p>
      <w:pPr>
        <w:pStyle w:val="BodyText"/>
      </w:pPr>
      <w:r>
        <w:rPr>
          <w:bCs/>
          <w:b/>
        </w:rPr>
        <w:t xml:space="preserve">Prepared by:</w:t>
      </w:r>
      <w:r>
        <w:br/>
      </w:r>
      <w:r>
        <w:t xml:space="preserve">Peer Review Committee</w:t>
      </w:r>
      <w:r>
        <w:br/>
      </w:r>
      <w:r>
        <w:t xml:space="preserve">Legal Practice Standards Board</w:t>
      </w:r>
      <w:r>
        <w:br/>
      </w:r>
      <w:r>
        <w:t xml:space="preserve">Riyadh, Saudi Arabia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Legal Practice in Riyadh, Saudi Arabia</dc:title>
  <dc:creator/>
  <dc:language>en</dc:language>
  <cp:keywords/>
  <dcterms:created xsi:type="dcterms:W3CDTF">2026-10-10T07:04:14Z</dcterms:created>
  <dcterms:modified xsi:type="dcterms:W3CDTF">2026-10-10T07:04:14Z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