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rPr>
          <w:bCs/>
          <w:b/>
        </w:rPr>
        <w:t xml:space="preserve">Document Type:</w:t>
      </w:r>
      <w:r>
        <w:t xml:space="preserve"> </w:t>
      </w:r>
      <w:r>
        <w:t xml:space="preserve">Peer Review Report</w:t>
      </w:r>
      <w:r>
        <w:br/>
      </w:r>
      <w:r>
        <w:rPr>
          <w:bCs/>
          <w:b/>
        </w:rPr>
        <w:t xml:space="preserve">Subject:</w:t>
      </w:r>
      <w:r>
        <w:t xml:space="preserve"> </w:t>
      </w:r>
      <w:r>
        <w:t xml:space="preserve">Professional Competence of Lawyer</w:t>
      </w:r>
      <w:r>
        <w:br/>
      </w:r>
      <w:r>
        <w:rPr>
          <w:bCs/>
          <w:b/>
        </w:rPr>
        <w:t xml:space="preserve">Location:</w:t>
      </w:r>
      <w:r>
        <w:t xml:space="preserve"> </w:t>
      </w:r>
      <w:r>
        <w:t xml:space="preserve">South Korea Seoul</w:t>
      </w:r>
    </w:p>
    <w:p>
      <w:pPr>
        <w:pStyle w:val="BodyText"/>
      </w:pPr>
      <w:r>
        <w:rPr>
          <w:bCs/>
          <w:b/>
        </w:rPr>
        <w:t xml:space="preserve">Date:</w:t>
      </w:r>
      <w:r>
        <w:t xml:space="preserve"> </w:t>
      </w:r>
      <w:r>
        <w:t xml:space="preserve">October 24, 2023</w:t>
      </w:r>
      <w:r>
        <w:br/>
      </w:r>
      <w:r>
        <w:rPr>
          <w:bCs/>
          <w:b/>
        </w:rPr>
        <w:t xml:space="preserve">Review ID:</w:t>
      </w:r>
      <w:r>
        <w:t xml:space="preserve"> </w:t>
      </w:r>
      <w:r>
        <w:t xml:space="preserve">KR-SEL-2023-089</w:t>
      </w:r>
      <w:r>
        <w:br/>
      </w:r>
      <w:r>
        <w:rPr>
          <w:bCs/>
          <w:b/>
        </w:rPr>
        <w:t xml:space="preserve">Status:</w:t>
      </w:r>
      <w:r>
        <w:t xml:space="preserve"> </w:t>
      </w:r>
      <w:r>
        <w:t xml:space="preserve">Finalized</w:t>
      </w:r>
    </w:p>
    <w:bookmarkStart w:id="26" w:name="Xaf9b0b2b012de3f76c5116d9d556d1fc26f1a9b"/>
    <w:p>
      <w:pPr>
        <w:pStyle w:val="Heading1"/>
      </w:pPr>
      <w:r>
        <w:t xml:space="preserve">Peer Review Report: Evaluation of Legal Practice Standards</w:t>
      </w:r>
    </w:p>
    <w:p>
      <w:pPr>
        <w:pStyle w:val="FirstParagraph"/>
      </w:pPr>
      <w:r>
        <w:t xml:space="preserve">This document serves as a comprehensive Peer Review Report regarding the professional conduct, technical competence, and ethical adherence of a practicing Lawyer within the jurisdiction of South Korea Seoul. The purpose of this review is to assess the quality of legal services provided, ensuring alignment with the rigorous standards set forth by the Korean Bar Association and the specific regulatory environment of the capital region.</w:t>
      </w:r>
    </w:p>
    <w:p>
      <w:pPr>
        <w:pStyle w:val="BodyText"/>
      </w:pPr>
      <w:r>
        <w:t xml:space="preserve">The legal landscape in South Korea Seoul is characterized by high complexity, rapid technological integration, and a dense concentration of corporate and civil litigation. Consequently, the expectations placed upon a Lawyer operating in this metropolis are exceptionally high. This report evaluates the subject's performance against these elevated benchmarks.</w:t>
      </w:r>
    </w:p>
    <w:bookmarkStart w:id="20" w:name="introduction-and-scope-of-review"/>
    <w:p>
      <w:pPr>
        <w:pStyle w:val="Heading2"/>
      </w:pPr>
      <w:r>
        <w:t xml:space="preserve">1. Introduction and Scope of Review</w:t>
      </w:r>
    </w:p>
    <w:p>
      <w:pPr>
        <w:pStyle w:val="FirstParagraph"/>
      </w:pPr>
      <w:r>
        <w:t xml:space="preserve">The scope of this Peer Review Report encompasses a detailed analysis of case files, client correspondence, court submissions, and ethical compliance records over the preceding twelve months. The review focuses specifically on the Lawyer's ability to navigate the dual-language requirements often present in Seoul's international business sector, as well as their mastery of domestic Korean statutes.</w:t>
      </w:r>
    </w:p>
    <w:p>
      <w:pPr>
        <w:pStyle w:val="BodyText"/>
      </w:pPr>
      <w:r>
        <w:t xml:space="preserve">Given the dynamic nature of South Korea Seoul's legal market, the review also assesses the Lawyer's adaptability to recent legislative changes, particularly in the realms of digital privacy, corporate governance, and intellectual property rights.</w:t>
      </w:r>
    </w:p>
    <w:bookmarkEnd w:id="20"/>
    <w:bookmarkStart w:id="21" w:name="technical-competence-and-legal-knowledge"/>
    <w:p>
      <w:pPr>
        <w:pStyle w:val="Heading2"/>
      </w:pPr>
      <w:r>
        <w:t xml:space="preserve">2. Technical Competence and Legal Knowledge</w:t>
      </w:r>
    </w:p>
    <w:p>
      <w:pPr>
        <w:pStyle w:val="FirstParagraph"/>
      </w:pPr>
      <w:r>
        <w:t xml:space="preserve">A fundamental aspect of this Peer Review Report is the evaluation of the Lawyer's substantive legal knowledge. The subject has demonstrated a robust understanding of the Civil Act of Korea and the Commercial Act. In the context of South Korea Seoul, where high-stakes commercial disputes are frequent, the Lawyer's ability to draft precise contracts and litigation strategies is critical.</w:t>
      </w:r>
    </w:p>
    <w:p>
      <w:pPr>
        <w:pStyle w:val="BodyText"/>
      </w:pPr>
      <w:r>
        <w:t xml:space="preserve">The review highlights the Lawyer's proficiency in handling cross-border transactions. Operating in South Korea Seoul often requires bridging the gap between Korean civil law traditions and common law expectations of international clients. The subject has shown commendable skill in this area, ensuring that legal instruments are enforceable within the Korean judicial system while remaining palatable to foreign stakeholders.</w:t>
      </w:r>
    </w:p>
    <w:p>
      <w:pPr>
        <w:pStyle w:val="BodyText"/>
      </w:pPr>
      <w:r>
        <w:t xml:space="preserve">Furthermore, the Lawyer's familiarity with the procedural rules of the Seoul Central District Court and the Seoul High Court is evident. The timeliness and accuracy of filings reviewed during this process indicate a high level of procedural competence, minimizing the risk of procedural dismissals or delays.</w:t>
      </w:r>
    </w:p>
    <w:bookmarkEnd w:id="21"/>
    <w:bookmarkStart w:id="22" w:name="X4ce211acb8b02978b825403f312638d11fa1afd"/>
    <w:p>
      <w:pPr>
        <w:pStyle w:val="Heading2"/>
      </w:pPr>
      <w:r>
        <w:t xml:space="preserve">3. Ethical Standards and Professional Conduct</w:t>
      </w:r>
    </w:p>
    <w:p>
      <w:pPr>
        <w:pStyle w:val="FirstParagraph"/>
      </w:pPr>
      <w:r>
        <w:t xml:space="preserve">Adherence to the Code of Professional Ethics for Lawyers is non-negotiable. This Peer Review Report confirms that the subject has maintained strict compliance with confidentiality obligations and conflict of interest protocols. In the tightly knit legal community of South Korea Seoul, reputation is paramount, and the subject has upheld the dignity of the profession.</w:t>
      </w:r>
    </w:p>
    <w:p>
      <w:pPr>
        <w:pStyle w:val="BodyText"/>
      </w:pPr>
      <w:r>
        <w:t xml:space="preserve">The review examined potential conflicts arising from the Lawyer's diverse client portfolio. It was found that the Lawyer implemented effective screening mechanisms to prevent the misuse of confidential information. This is particularly relevant in South Korea Seoul, where conglomerates (Chaebols) and their subsidiaries often engage in complex, interrelated legal matters.</w:t>
      </w:r>
    </w:p>
    <w:p>
      <w:pPr>
        <w:pStyle w:val="BodyText"/>
      </w:pPr>
      <w:r>
        <w:t xml:space="preserve">Additionally, the Lawyer's interactions with judicial officers and opposing counsel were reviewed. The conduct observed was professional, respectful, and aligned with the expectations of the Korean Bar Association. There were no instances of undue influence or unethical communication tactics.</w:t>
      </w:r>
    </w:p>
    <w:bookmarkEnd w:id="22"/>
    <w:bookmarkStart w:id="23" w:name="client-communication-and-service-quality"/>
    <w:p>
      <w:pPr>
        <w:pStyle w:val="Heading2"/>
      </w:pPr>
      <w:r>
        <w:t xml:space="preserve">4. Client Communication and Service Quality</w:t>
      </w:r>
    </w:p>
    <w:p>
      <w:pPr>
        <w:pStyle w:val="FirstParagraph"/>
      </w:pPr>
      <w:r>
        <w:t xml:space="preserve">Effective communication is a cornerstone of legal practice. This Peer Review Report assesses the Lawyer's ability to convey complex legal concepts to clients clearly and promptly. In the fast-paced environment of South Korea Seoul, clients expect immediate responsiveness and strategic clarity.</w:t>
      </w:r>
    </w:p>
    <w:p>
      <w:pPr>
        <w:pStyle w:val="BodyText"/>
      </w:pPr>
      <w:r>
        <w:t xml:space="preserve">The subject has demonstrated strong communication skills, providing regular updates on case progress and offering proactive legal advice rather than merely reactive services. The review notes that the Lawyer effectively manages client expectations, particularly in litigation matters where outcomes are uncertain.</w:t>
      </w:r>
    </w:p>
    <w:p>
      <w:pPr>
        <w:pStyle w:val="BodyText"/>
      </w:pPr>
      <w:r>
        <w:t xml:space="preserve">Moreover, the Lawyer's ability to communicate in both Korean and English has been a significant asset. This bilingual capability is essential for serving the international community in South Korea Seoul, allowing the Lawyer to represent foreign entities with the same level of nuance and precision as domestic clients.</w:t>
      </w:r>
    </w:p>
    <w:bookmarkEnd w:id="23"/>
    <w:bookmarkStart w:id="24" w:name="case-management-and-efficiency"/>
    <w:p>
      <w:pPr>
        <w:pStyle w:val="Heading2"/>
      </w:pPr>
      <w:r>
        <w:t xml:space="preserve">5. Case Management and Efficiency</w:t>
      </w:r>
    </w:p>
    <w:p>
      <w:pPr>
        <w:pStyle w:val="FirstParagraph"/>
      </w:pPr>
      <w:r>
        <w:t xml:space="preserve">The efficiency of legal practice is another critical metric in this Peer Review Report. The Lawyer has shown excellent organizational skills, managing a heavy caseload without compromising the quality of work. The use of modern legal technology to track deadlines, manage documents, and facilitate collaboration has been noted as a positive factor.</w:t>
      </w:r>
    </w:p>
    <w:p>
      <w:pPr>
        <w:pStyle w:val="BodyText"/>
      </w:pPr>
      <w:r>
        <w:t xml:space="preserve">In the context of South Korea Seoul, where court schedules can be congested, the Lawyer's ability to prioritize tasks and meet strict deadlines is vital. The review found no instances of missed filing deadlines or negligent case management. The Lawyer's systematic approach to case preparation ensures that all arguments are well-researched and supported by relevant precedents.</w:t>
      </w:r>
    </w:p>
    <w:bookmarkEnd w:id="24"/>
    <w:bookmarkStart w:id="25" w:name="recommendations-and-conclusion"/>
    <w:p>
      <w:pPr>
        <w:pStyle w:val="Heading2"/>
      </w:pPr>
      <w:r>
        <w:t xml:space="preserve">6. Recommendations and Conclusion</w:t>
      </w:r>
    </w:p>
    <w:p>
      <w:pPr>
        <w:pStyle w:val="FirstParagraph"/>
      </w:pPr>
      <w:r>
        <w:t xml:space="preserve">Based on the findings of this Peer Review Report, the Lawyer has demonstrated a high level of competence, ethical integrity, and professional dedication. The subject is well-equipped to handle the complexities of legal practice in South Korea Seoul.</w:t>
      </w:r>
    </w:p>
    <w:p>
      <w:pPr>
        <w:pStyle w:val="BodyText"/>
      </w:pPr>
      <w:r>
        <w:t xml:space="preserve">However, to further enhance their practice, the following recommendations are made:</w:t>
      </w:r>
    </w:p>
    <w:p>
      <w:pPr>
        <w:numPr>
          <w:ilvl w:val="0"/>
          <w:numId w:val="1001"/>
        </w:numPr>
        <w:pStyle w:val="Compact"/>
      </w:pPr>
      <w:r>
        <w:rPr>
          <w:bCs/>
          <w:b/>
        </w:rPr>
        <w:t xml:space="preserve">Continuing Legal Education:</w:t>
      </w:r>
      <w:r>
        <w:t xml:space="preserve"> </w:t>
      </w:r>
      <w:r>
        <w:t xml:space="preserve">The Lawyer should continue to engage in specialized training regarding emerging areas of law, such as AI regulation and cryptocurrency, which are gaining prominence in South Korea Seoul.</w:t>
      </w:r>
    </w:p>
    <w:p>
      <w:pPr>
        <w:numPr>
          <w:ilvl w:val="0"/>
          <w:numId w:val="1001"/>
        </w:numPr>
        <w:pStyle w:val="Compact"/>
      </w:pPr>
      <w:r>
        <w:rPr>
          <w:bCs/>
          <w:b/>
        </w:rPr>
        <w:t xml:space="preserve">Pro Bono Engagement:</w:t>
      </w:r>
      <w:r>
        <w:t xml:space="preserve"> </w:t>
      </w:r>
      <w:r>
        <w:t xml:space="preserve">Increasing involvement in pro bono work would further contribute to the Lawyer's professional development and community standing within the Seoul legal ecosystem.</w:t>
      </w:r>
    </w:p>
    <w:p>
      <w:pPr>
        <w:numPr>
          <w:ilvl w:val="0"/>
          <w:numId w:val="1001"/>
        </w:numPr>
        <w:pStyle w:val="Compact"/>
      </w:pPr>
      <w:r>
        <w:rPr>
          <w:bCs/>
          <w:b/>
        </w:rPr>
        <w:t xml:space="preserve">International Networking:</w:t>
      </w:r>
      <w:r>
        <w:t xml:space="preserve"> </w:t>
      </w:r>
      <w:r>
        <w:t xml:space="preserve">Expanding professional networks with international law firms could enhance the Lawyer's capacity to handle complex cross-border disputes.</w:t>
      </w:r>
    </w:p>
    <w:p>
      <w:pPr>
        <w:pStyle w:val="FirstParagraph"/>
      </w:pPr>
      <w:r>
        <w:t xml:space="preserve">In conclusion, this Peer Review Report affirms that the Lawyer meets and exceeds the professional standards required for practice in South Korea Seoul. The subject's commitment to excellence and ethical practice makes them a valuable asset to the legal profession.</w:t>
      </w:r>
    </w:p>
    <w:p>
      <w:pPr>
        <w:pStyle w:val="BodyText"/>
      </w:pPr>
      <w:r>
        <w:rPr>
          <w:bCs/>
          <w:b/>
        </w:rPr>
        <w:t xml:space="preserve">Reviewed By:</w:t>
      </w:r>
      <w:r>
        <w:br/>
      </w:r>
      <w:r>
        <w:t xml:space="preserve">Senior Peer Review Committee</w:t>
      </w:r>
      <w:r>
        <w:br/>
      </w:r>
      <w:r>
        <w:t xml:space="preserve">Seoul Bar Association Accredited Review Panel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Legal Practice in South Korea Seoul</dc:title>
  <dc:creator/>
  <dc:language>en</dc:language>
  <cp:keywords/>
  <dcterms:created xsi:type="dcterms:W3CDTF">2026-10-10T08:14:55Z</dcterms:created>
  <dcterms:modified xsi:type="dcterms:W3CDTF">2026-10-10T08:14:55Z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