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Madrid,</w:t>
      </w:r>
      <w:r>
        <w:t xml:space="preserve"> </w:t>
      </w:r>
      <w:r>
        <w:t xml:space="preserve">Spain</w:t>
      </w:r>
    </w:p>
    <w:bookmarkStart w:id="27" w:name="X9283e9b72fdd91a6b2aae5e92eab54ff733cb75"/>
    <w:p>
      <w:pPr>
        <w:pStyle w:val="Heading1"/>
      </w:pPr>
      <w:r>
        <w:t xml:space="preserve">Peer Review Report: Professional Legal Services</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Madrid, Spain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Reference:</w:t>
      </w:r>
      <w:r>
        <w:t xml:space="preserve"> </w:t>
      </w:r>
      <w:r>
        <w:t xml:space="preserve">Madrid Bar Association Guidelines</w:t>
      </w:r>
    </w:p>
    <w:bookmarkStart w:id="20" w:name="executive-summary"/>
    <w:p>
      <w:pPr>
        <w:pStyle w:val="Heading2"/>
      </w:pPr>
      <w:r>
        <w:t xml:space="preserve">1. Executive Summary</w:t>
      </w:r>
    </w:p>
    <w:p>
      <w:pPr>
        <w:pStyle w:val="FirstParagraph"/>
      </w:pPr>
      <w:r>
        <w:t xml:space="preserve">This Peer Review Report serves as a formal evaluation of the professional standards, operational efficiency, and ethical compliance of a legal practitioner operating within the jurisdiction of Madrid, Spain. The primary objective of this review is to assess the Lawyer's adherence to the rigorous standards set forth by the Ilustre Colegio de Abogados de Madrid (ICAM). As the legal landscape in Spain continues to evolve, particularly within the capital's dynamic economic environment, it is imperative that legal professionals demonstrate not only technical proficiency but also a deep understanding of local procedural nuances. This report analyzes the subject's performance across key metrics, including client communication, case management, regulatory compliance, and professional integrity.</w:t>
      </w:r>
    </w:p>
    <w:bookmarkEnd w:id="20"/>
    <w:bookmarkStart w:id="21" w:name="introduction-and-scope"/>
    <w:p>
      <w:pPr>
        <w:pStyle w:val="Heading2"/>
      </w:pPr>
      <w:r>
        <w:t xml:space="preserve">2. Introduction and Scope</w:t>
      </w:r>
    </w:p>
    <w:p>
      <w:pPr>
        <w:pStyle w:val="FirstParagraph"/>
      </w:pPr>
      <w:r>
        <w:t xml:space="preserve">The practice of law in Madrid is characterized by a high volume of complex litigation, corporate transactions, and international arbitration. Consequently, the expectations placed upon a Lawyer in this region are exceptionally high. This review was conducted to ensure that the legal services provided align with the expectations of both the Spanish legal system and the diverse clientele served in Madrid. The scope of this Peer Review Report encompasses a detailed examination of the Lawyer's recent caseload, adherence to the Code of Professional Conduct, and the effectiveness of their legal strategies.</w:t>
      </w:r>
    </w:p>
    <w:p>
      <w:pPr>
        <w:pStyle w:val="BodyText"/>
      </w:pPr>
      <w:r>
        <w:t xml:space="preserve">The assessment focuses on the intersection of substantive law and practical application. It is not sufficient for a Lawyer to merely know the Spanish Civil Code or the Ley de Enjuiciamiento Civil; they must apply these statutes with precision and strategic foresight. This report evaluates whether the subject has successfully navigated the specific challenges of the Madrid judicial system, including court scheduling, procedural deadlines, and the formalities required by local tribunals.</w:t>
      </w:r>
    </w:p>
    <w:bookmarkEnd w:id="21"/>
    <w:bookmarkStart w:id="22" w:name="assessment-of-professional-competence"/>
    <w:p>
      <w:pPr>
        <w:pStyle w:val="Heading2"/>
      </w:pPr>
      <w:r>
        <w:t xml:space="preserve">3. Assessment of Professional Competence</w:t>
      </w:r>
    </w:p>
    <w:p>
      <w:pPr>
        <w:pStyle w:val="FirstParagraph"/>
      </w:pPr>
      <w:r>
        <w:t xml:space="preserve">A critical component of this Peer Review Report is the evaluation of the Lawyer's technical competence. In the context of Spain Madrid, legal professionals are often required to handle matters involving both national and European Union regulations. The review indicates that the Lawyer demonstrates a robust understanding of the relevant legal frameworks. Specifically, the analysis of case files reveals a meticulous approach to legal research and the drafting of pleadings.</w:t>
      </w:r>
    </w:p>
    <w:p>
      <w:pPr>
        <w:pStyle w:val="BodyText"/>
      </w:pPr>
      <w:r>
        <w:t xml:space="preserve">The Lawyer's ability to interpret complex statutes and apply them to specific factual scenarios is commendable. In several instances reviewed, the legal arguments presented were well-structured, logically sound, and supported by appropriate jurisprudence from the Audiencia Nacional and the Supreme Court of Spain. This level of competence is essential for maintaining credibility in the eyes of the judiciary and opposing counsel. Furthermore, the Lawyer's proficiency in managing cross-border legal issues is noted as a significant asset, reflecting the international nature of Madrid's business community.</w:t>
      </w:r>
    </w:p>
    <w:bookmarkEnd w:id="22"/>
    <w:bookmarkStart w:id="23" w:name="X4ce211acb8b02978b825403f312638d11fa1afd"/>
    <w:p>
      <w:pPr>
        <w:pStyle w:val="Heading2"/>
      </w:pPr>
      <w:r>
        <w:t xml:space="preserve">4. Ethical Standards and Professional Conduct</w:t>
      </w:r>
    </w:p>
    <w:p>
      <w:pPr>
        <w:pStyle w:val="FirstParagraph"/>
      </w:pPr>
      <w:r>
        <w:t xml:space="preserve">Adherence to ethical standards is the cornerstone of the legal profession. This Peer Review Report places significant emphasis on the Lawyer's compliance with the ethical guidelines established by the ICAM. The review confirms that the subject maintains the highest levels of integrity, confidentiality, and loyalty to their clients. There were no instances of conflicts of interest identified during the assessment period.</w:t>
      </w:r>
    </w:p>
    <w:p>
      <w:pPr>
        <w:pStyle w:val="BodyText"/>
      </w:pPr>
      <w:r>
        <w:t xml:space="preserve">In Spain, the relationship between a Lawyer and their client is governed by strict fiduciary duties. The review highlights that the Lawyer consistently prioritizes the client's best interests, providing candid advice even when it may not be favorable. This transparency is crucial for building trust and ensuring that clients in Madrid are fully informed about the risks and potential outcomes of their legal matters. The Lawyer's conduct in court and in negotiations with opposing parties was observed to be respectful and professional, upholding the dignity of the profession.</w:t>
      </w:r>
    </w:p>
    <w:bookmarkEnd w:id="23"/>
    <w:bookmarkStart w:id="24" w:name="X0aa081500259e57860e9b7ba8ba005653ef0f89"/>
    <w:p>
      <w:pPr>
        <w:pStyle w:val="Heading2"/>
      </w:pPr>
      <w:r>
        <w:t xml:space="preserve">5. Client Communication and Service Delivery</w:t>
      </w:r>
    </w:p>
    <w:p>
      <w:pPr>
        <w:pStyle w:val="FirstParagraph"/>
      </w:pPr>
      <w:r>
        <w:t xml:space="preserve">Effective communication is vital for the success of any legal practice. This Peer Review Report evaluates the Lawyer's ability to communicate complex legal concepts in a clear and accessible manner. Given the diverse demographic of Madrid, the Lawyer's capacity to engage with clients from various cultural and linguistic backgrounds is particularly relevant. The review notes that the Lawyer provides regular updates on case progress, ensuring that clients are never left in the dark regarding the status of their matters.</w:t>
      </w:r>
    </w:p>
    <w:p>
      <w:pPr>
        <w:pStyle w:val="BodyText"/>
      </w:pPr>
      <w:r>
        <w:t xml:space="preserve">Furthermore, the Lawyer's responsiveness to client inquiries is exemplary. In a fast-paced environment like Madrid, timely communication can often be the difference between a successful resolution and a missed opportunity. The review also assesses the clarity of fee agreements and billing practices, finding them to be transparent and in accordance with Spanish regulations. This transparency helps to prevent misunderstandings and fosters a positive client-lawyer relationship.</w:t>
      </w:r>
    </w:p>
    <w:bookmarkEnd w:id="24"/>
    <w:bookmarkStart w:id="25" w:name="case-management-and-efficiency"/>
    <w:p>
      <w:pPr>
        <w:pStyle w:val="Heading2"/>
      </w:pPr>
      <w:r>
        <w:t xml:space="preserve">6. Case Management and Efficiency</w:t>
      </w:r>
    </w:p>
    <w:p>
      <w:pPr>
        <w:pStyle w:val="FirstParagraph"/>
      </w:pPr>
      <w:r>
        <w:t xml:space="preserve">The efficiency with which a Lawyer manages their caseload is a key indicator of their professional capability. This Peer Review Report examines the Lawyer's organizational skills and their ability to meet strict procedural deadlines. The Spanish legal system is known for its formalistic requirements, and failure to comply with procedural rules can have severe consequences. The review confirms that the Lawyer maintains a rigorous system for tracking deadlines, filing documents, and managing evidence.</w:t>
      </w:r>
    </w:p>
    <w:p>
      <w:pPr>
        <w:pStyle w:val="BodyText"/>
      </w:pPr>
      <w:r>
        <w:t xml:space="preserve">The Lawyer's use of technology to streamline case management processes is also noted as a positive factor. By leveraging modern legal tools, the Lawyer is able to handle a high volume of cases without compromising the quality of service. This efficiency is particularly important in Madrid, where the courts are often congested, and delays can be costly for clients. The review concludes that the Lawyer's case management practices are robust and effective.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Lawyer under review meets and, in many respects, exceeds the professional standards expected of legal practitioners in Spain Madrid. The subject demonstrates a high level of competence, ethical integrity, and dedication to client service. The review highlights the Lawyer's ability to navigate the complexities of the Spanish legal system while maintaining a client-centered approach.</w:t>
      </w:r>
    </w:p>
    <w:p>
      <w:pPr>
        <w:pStyle w:val="BodyText"/>
      </w:pPr>
      <w:r>
        <w:t xml:space="preserve">While the overall assessment is highly positive, the report recommends continued professional development to stay abreast of emerging legal trends and regulatory changes. Specifically, further training in digital law and international arbitration could enhance the Lawyer's service offerings. By maintaining a commitment to excellence and continuous improvement, the Lawyer will continue to serve their clients effectively and uphold the reputation of the legal profession in Madrid.</w:t>
      </w:r>
    </w:p>
    <w:p>
      <w:pPr>
        <w:pStyle w:val="BodyText"/>
      </w:pPr>
      <w:r>
        <w:rPr>
          <w:bCs/>
          <w:b/>
        </w:rPr>
        <w:t xml:space="preserve">Prepared by:</w:t>
      </w:r>
      <w:r>
        <w:t xml:space="preserve"> </w:t>
      </w:r>
      <w:r>
        <w:t xml:space="preserve">Senior Peer Review Committee</w:t>
      </w:r>
    </w:p>
    <w:p>
      <w:pPr>
        <w:pStyle w:val="BodyText"/>
      </w:pPr>
      <w:r>
        <w:rPr>
          <w:bCs/>
          <w:b/>
        </w:rPr>
        <w:t xml:space="preserve">Affiliation:</w:t>
      </w:r>
      <w:r>
        <w:t xml:space="preserve"> </w:t>
      </w:r>
      <w:r>
        <w:t xml:space="preserve">Independent Legal Standards Board</w:t>
      </w:r>
    </w:p>
    <w:p>
      <w:pPr>
        <w:pStyle w:val="BodyText"/>
      </w:pPr>
      <w:r>
        <w:rPr>
          <w:bCs/>
          <w:b/>
        </w:rPr>
        <w:t xml:space="preserve">Date of Submission:</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Madrid, Spain</dc:title>
  <dc:creator/>
  <dc:language>en</dc:language>
  <cp:keywords/>
  <dcterms:created xsi:type="dcterms:W3CDTF">2026-10-10T02:01:01Z</dcterms:created>
  <dcterms:modified xsi:type="dcterms:W3CDTF">2026-10-10T02:01:01Z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