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32" w:name="X61809201acc10d507c0931278bee9509dc7e5f7"/>
    <w:p>
      <w:pPr>
        <w:pStyle w:val="Heading1"/>
      </w:pPr>
      <w:r>
        <w:t xml:space="preserve">Peer Review Report: Legal Services in Thailand Bangkok</w:t>
      </w:r>
    </w:p>
    <w:p>
      <w:pPr>
        <w:pStyle w:val="FirstParagraph"/>
      </w:pPr>
      <w:r>
        <w:rPr>
          <w:bCs/>
          <w:b/>
        </w:rPr>
        <w:t xml:space="preserve">Subject:</w:t>
      </w:r>
      <w:r>
        <w:t xml:space="preserve"> </w:t>
      </w:r>
      <w:r>
        <w:t xml:space="preserve">Comprehensive Peer Review of Legal Practice Standards for a Lawyer Operating in Thailand Bangkok</w:t>
      </w:r>
    </w:p>
    <w:p>
      <w:pPr>
        <w:pStyle w:val="BodyText"/>
      </w:pPr>
      <w:r>
        <w:rPr>
          <w:bCs/>
          <w:b/>
        </w:rPr>
        <w:t xml:space="preserve">Date:</w:t>
      </w:r>
      <w:r>
        <w:t xml:space="preserve"> </w:t>
      </w:r>
      <w:r>
        <w:t xml:space="preserve">October 24, 2023</w:t>
      </w:r>
    </w:p>
    <w:p>
      <w:pPr>
        <w:pStyle w:val="BodyText"/>
      </w:pPr>
      <w:r>
        <w:rPr>
          <w:bCs/>
          <w:b/>
        </w:rPr>
        <w:t xml:space="preserve">Review Type:</w:t>
      </w:r>
      <w:r>
        <w:t xml:space="preserve"> </w:t>
      </w:r>
      <w:r>
        <w:t xml:space="preserve">Professional Competency and Ethical Compliance Assessment</w:t>
      </w:r>
    </w:p>
    <w:p>
      <w:pPr>
        <w:pStyle w:val="BodyText"/>
      </w:pPr>
      <w:r>
        <w:rPr>
          <w:bCs/>
          <w:b/>
        </w:rPr>
        <w:t xml:space="preserve">Region:</w:t>
      </w:r>
      <w:r>
        <w:t xml:space="preserve"> </w:t>
      </w:r>
      <w:r>
        <w:t xml:space="preserve">Thailand Bangkok Metropolitan Area</w:t>
      </w:r>
    </w:p>
    <w:bookmarkStart w:id="20" w:name="executive-summary"/>
    <w:p>
      <w:pPr>
        <w:pStyle w:val="Heading2"/>
      </w:pPr>
      <w:r>
        <w:t xml:space="preserve">1. Executive Summary</w:t>
      </w:r>
    </w:p>
    <w:p>
      <w:pPr>
        <w:pStyle w:val="FirstParagraph"/>
      </w:pPr>
      <w:r>
        <w:t xml:space="preserve">This Peer Review Report provides an in-depth evaluation of the professional capabilities, ethical standards, and operational efficiency of a Lawyer practicing within the dynamic legal landscape of Thailand Bangkok. The purpose of this review is to assess the subject's adherence to the Code of Ethics and Professional Conduct of the Lawyers Council of Thailand, as well as their ability to navigate the complex intersection of Thai statutory law and international business practices prevalent in the capital city. The review encompasses case management, client communication, legal research proficiency, and cultural competency.</w:t>
      </w:r>
    </w:p>
    <w:bookmarkEnd w:id="20"/>
    <w:bookmarkStart w:id="21" w:name="introduction-and-scope"/>
    <w:p>
      <w:pPr>
        <w:pStyle w:val="Heading2"/>
      </w:pPr>
      <w:r>
        <w:t xml:space="preserve">2. Introduction and Scope</w:t>
      </w:r>
    </w:p>
    <w:p>
      <w:pPr>
        <w:pStyle w:val="FirstParagraph"/>
      </w:pPr>
      <w:r>
        <w:t xml:space="preserve">Thailand Bangkok serves as the economic and legal hub of Southeast Asia, attracting a diverse clientele ranging from multinational corporations to local enterprises and individual expatriates. Consequently, a Lawyer operating in this jurisdiction must possess a unique blend of traditional legal acumen and modern, cross-border adaptability. This Peer Review Report examines the subject's performance across several critical dimensions:</w:t>
      </w:r>
    </w:p>
    <w:p>
      <w:pPr>
        <w:numPr>
          <w:ilvl w:val="0"/>
          <w:numId w:val="1001"/>
        </w:numPr>
        <w:pStyle w:val="Compact"/>
      </w:pPr>
      <w:r>
        <w:t xml:space="preserve">Knowledge of Thai Civil and Commercial Code.</w:t>
      </w:r>
    </w:p>
    <w:p>
      <w:pPr>
        <w:numPr>
          <w:ilvl w:val="0"/>
          <w:numId w:val="1001"/>
        </w:numPr>
        <w:pStyle w:val="Compact"/>
      </w:pPr>
      <w:r>
        <w:t xml:space="preserve">Proficiency in foreign investment regulations.</w:t>
      </w:r>
    </w:p>
    <w:p>
      <w:pPr>
        <w:numPr>
          <w:ilvl w:val="0"/>
          <w:numId w:val="1001"/>
        </w:numPr>
        <w:pStyle w:val="Compact"/>
      </w:pPr>
      <w:r>
        <w:t xml:space="preserve">Adherence to professional ethics mandated by the Lawyers Council of Thailand.</w:t>
      </w:r>
    </w:p>
    <w:p>
      <w:pPr>
        <w:numPr>
          <w:ilvl w:val="0"/>
          <w:numId w:val="1001"/>
        </w:numPr>
        <w:pStyle w:val="Compact"/>
      </w:pPr>
      <w:r>
        <w:t xml:space="preserve">Effectiveness in dispute resolution mechanisms specific to Thailand Bangkok.</w:t>
      </w:r>
    </w:p>
    <w:bookmarkEnd w:id="21"/>
    <w:bookmarkStart w:id="24" w:name="Xab55cc76684d5a2666aff31bdb894f6e3f5113e"/>
    <w:p>
      <w:pPr>
        <w:pStyle w:val="Heading2"/>
      </w:pPr>
      <w:r>
        <w:t xml:space="preserve">3. Assessment of Legal Knowledge and Expertise</w:t>
      </w:r>
    </w:p>
    <w:bookmarkStart w:id="22" w:name="statutory-interpretation"/>
    <w:p>
      <w:pPr>
        <w:pStyle w:val="Heading3"/>
      </w:pPr>
      <w:r>
        <w:t xml:space="preserve">3.1 Statutory Interpretation</w:t>
      </w:r>
    </w:p>
    <w:p>
      <w:pPr>
        <w:pStyle w:val="FirstParagraph"/>
      </w:pPr>
      <w:r>
        <w:t xml:space="preserve">The Lawyer demonstrates a robust understanding of the Thai legal framework. In reviewing selected case files, it is evident that the subject accurately interprets the Civil and Commercial Code, which forms the backbone of private law in Thailand. The ability to apply these statutes to real-world scenarios in Thailand Bangkok, particularly in contract law and corporate governance, is commendable. The Lawyer shows particular strength in navigating the nuances of the Foreign Business Act, a critical area for clients establishing operations in the capital.</w:t>
      </w:r>
    </w:p>
    <w:bookmarkEnd w:id="22"/>
    <w:bookmarkStart w:id="23" w:name="regulatory-compliance"/>
    <w:p>
      <w:pPr>
        <w:pStyle w:val="Heading3"/>
      </w:pPr>
      <w:r>
        <w:t xml:space="preserve">3.2 Regulatory Compliance</w:t>
      </w:r>
    </w:p>
    <w:p>
      <w:pPr>
        <w:pStyle w:val="FirstParagraph"/>
      </w:pPr>
      <w:r>
        <w:t xml:space="preserve">Given the stringent regulatory environment in Thailand Bangkok, compliance is paramount. The review indicates that the Lawyer maintains up-to-date knowledge of recent amendments to labor laws, tax regulations, and environmental standards. This proactive approach ensures that clients are not only compliant but also strategically positioned to mitigate legal risks associated with operating in Thailand.</w:t>
      </w:r>
    </w:p>
    <w:bookmarkEnd w:id="23"/>
    <w:bookmarkEnd w:id="24"/>
    <w:bookmarkStart w:id="25" w:name="professional-ethics-and-conduct"/>
    <w:p>
      <w:pPr>
        <w:pStyle w:val="Heading2"/>
      </w:pPr>
      <w:r>
        <w:t xml:space="preserve">4. Professional Ethics and Conduct</w:t>
      </w:r>
    </w:p>
    <w:p>
      <w:pPr>
        <w:pStyle w:val="FirstParagraph"/>
      </w:pPr>
      <w:r>
        <w:t xml:space="preserve">Adherence to the Code of Ethics and Professional Conduct of the Lawyers Council of Thailand is non-negotiable. This Peer Review Report confirms that the Lawyer upholds the highest standards of integrity. Key observations include:</w:t>
      </w:r>
    </w:p>
    <w:p>
      <w:pPr>
        <w:numPr>
          <w:ilvl w:val="0"/>
          <w:numId w:val="1002"/>
        </w:numPr>
        <w:pStyle w:val="Compact"/>
      </w:pPr>
      <w:r>
        <w:rPr>
          <w:bCs/>
          <w:b/>
        </w:rPr>
        <w:t xml:space="preserve">Confidentiality:</w:t>
      </w:r>
      <w:r>
        <w:t xml:space="preserve"> </w:t>
      </w:r>
      <w:r>
        <w:t xml:space="preserve">Strict protocols are in place to protect client data, aligning with both Thai law and international privacy standards.</w:t>
      </w:r>
    </w:p>
    <w:p>
      <w:pPr>
        <w:numPr>
          <w:ilvl w:val="0"/>
          <w:numId w:val="1002"/>
        </w:numPr>
        <w:pStyle w:val="Compact"/>
      </w:pPr>
      <w:r>
        <w:rPr>
          <w:bCs/>
          <w:b/>
        </w:rPr>
        <w:t xml:space="preserve">Conflict of Interest:</w:t>
      </w:r>
      <w:r>
        <w:t xml:space="preserve"> </w:t>
      </w:r>
      <w:r>
        <w:t xml:space="preserve">The Lawyer diligently screens for potential conflicts, ensuring unbiased representation in all matters within Thailand Bangkok.</w:t>
      </w:r>
    </w:p>
    <w:p>
      <w:pPr>
        <w:numPr>
          <w:ilvl w:val="0"/>
          <w:numId w:val="1002"/>
        </w:numPr>
        <w:pStyle w:val="Compact"/>
      </w:pPr>
      <w:r>
        <w:rPr>
          <w:bCs/>
          <w:b/>
        </w:rPr>
        <w:t xml:space="preserve">Honesty and Transparency:</w:t>
      </w:r>
      <w:r>
        <w:t xml:space="preserve"> </w:t>
      </w:r>
      <w:r>
        <w:t xml:space="preserve">Communications with clients are clear, honest, and devoid of misleading information, fostering trust and long-term relationships.</w:t>
      </w:r>
    </w:p>
    <w:bookmarkEnd w:id="25"/>
    <w:bookmarkStart w:id="28" w:name="X0aa081500259e57860e9b7ba8ba005653ef0f89"/>
    <w:p>
      <w:pPr>
        <w:pStyle w:val="Heading2"/>
      </w:pPr>
      <w:r>
        <w:t xml:space="preserve">5. Client Communication and Service Delivery</w:t>
      </w:r>
    </w:p>
    <w:bookmarkStart w:id="26" w:name="responsiveness"/>
    <w:p>
      <w:pPr>
        <w:pStyle w:val="Heading3"/>
      </w:pPr>
      <w:r>
        <w:t xml:space="preserve">5.1 Responsiveness</w:t>
      </w:r>
    </w:p>
    <w:p>
      <w:pPr>
        <w:pStyle w:val="FirstParagraph"/>
      </w:pPr>
      <w:r>
        <w:t xml:space="preserve">In the fast-paced environment of Thailand Bangkok, timely communication is essential. The Lawyer exhibits excellent responsiveness, ensuring that client inquiries are addressed promptly. This is particularly important for international clients who may be operating across different time zones.</w:t>
      </w:r>
    </w:p>
    <w:bookmarkEnd w:id="26"/>
    <w:bookmarkStart w:id="27" w:name="cultural-competency"/>
    <w:p>
      <w:pPr>
        <w:pStyle w:val="Heading3"/>
      </w:pPr>
      <w:r>
        <w:t xml:space="preserve">5.2 Cultural Competency</w:t>
      </w:r>
    </w:p>
    <w:p>
      <w:pPr>
        <w:pStyle w:val="FirstParagraph"/>
      </w:pPr>
      <w:r>
        <w:t xml:space="preserve">Thailand Bangkok is a melting pot of cultures. The Lawyer demonstrates high cultural intelligence, effectively communicating with both Thai nationals and expatriates. This includes an understanding of local business etiquette and the ability to explain complex legal concepts in a manner that is accessible to non-Thai speakers. This skill is crucial for a Lawyer aiming to serve the diverse legal needs of the Bangkok metropolitan area.</w:t>
      </w:r>
    </w:p>
    <w:bookmarkEnd w:id="27"/>
    <w:bookmarkEnd w:id="28"/>
    <w:bookmarkStart w:id="29" w:name="case-management-and-efficiency"/>
    <w:p>
      <w:pPr>
        <w:pStyle w:val="Heading2"/>
      </w:pPr>
      <w:r>
        <w:t xml:space="preserve">6. Case Management and Efficiency</w:t>
      </w:r>
    </w:p>
    <w:p>
      <w:pPr>
        <w:pStyle w:val="FirstParagraph"/>
      </w:pPr>
      <w:r>
        <w:t xml:space="preserve">The review of the Lawyer's case management practices reveals a systematic and organized approach. Files are meticulously maintained, and deadlines are consistently met. The use of modern legal technology to streamline document management and research is evident, enhancing overall efficiency. In litigation matters within the courts of Thailand Bangkok, the Lawyer's preparation is thorough, and their advocacy is both persuasive and respectful of judicial procedures.</w:t>
      </w:r>
    </w:p>
    <w:bookmarkEnd w:id="29"/>
    <w:bookmarkStart w:id="30" w:name="areas-for-improvement"/>
    <w:p>
      <w:pPr>
        <w:pStyle w:val="Heading2"/>
      </w:pPr>
      <w:r>
        <w:t xml:space="preserve">7. Areas for Improvement</w:t>
      </w:r>
    </w:p>
    <w:p>
      <w:pPr>
        <w:pStyle w:val="FirstParagraph"/>
      </w:pPr>
      <w:r>
        <w:t xml:space="preserve">While the Lawyer performs at a high level, this Peer Review Report identifies a few areas for potential enhancement:</w:t>
      </w:r>
    </w:p>
    <w:p>
      <w:pPr>
        <w:numPr>
          <w:ilvl w:val="0"/>
          <w:numId w:val="1003"/>
        </w:numPr>
        <w:pStyle w:val="Compact"/>
      </w:pPr>
      <w:r>
        <w:rPr>
          <w:bCs/>
          <w:b/>
        </w:rPr>
        <w:t xml:space="preserve">Specialization:</w:t>
      </w:r>
      <w:r>
        <w:t xml:space="preserve"> </w:t>
      </w:r>
      <w:r>
        <w:t xml:space="preserve">Further specialization in emerging areas such as digital asset regulation or intellectual property law could provide a competitive edge in the Thailand Bangkok market.</w:t>
      </w:r>
    </w:p>
    <w:p>
      <w:pPr>
        <w:numPr>
          <w:ilvl w:val="0"/>
          <w:numId w:val="1003"/>
        </w:numPr>
        <w:pStyle w:val="Compact"/>
      </w:pPr>
      <w:r>
        <w:rPr>
          <w:bCs/>
          <w:b/>
        </w:rPr>
        <w:t xml:space="preserve">Networking:</w:t>
      </w:r>
      <w:r>
        <w:t xml:space="preserve"> </w:t>
      </w:r>
      <w:r>
        <w:t xml:space="preserve">Expanding professional networks within the legal community of Thailand Bangkok could lead to more collaborative opportunities and referrals.</w:t>
      </w:r>
    </w:p>
    <w:bookmarkEnd w:id="30"/>
    <w:bookmarkStart w:id="31" w:name="conclusion"/>
    <w:p>
      <w:pPr>
        <w:pStyle w:val="Heading2"/>
      </w:pPr>
      <w:r>
        <w:t xml:space="preserve">8. Conclusion</w:t>
      </w:r>
    </w:p>
    <w:p>
      <w:pPr>
        <w:pStyle w:val="FirstParagraph"/>
      </w:pPr>
      <w:r>
        <w:t xml:space="preserve">In conclusion, this Peer Review Report affirms that the Lawyer under review is a competent, ethical, and dedicated professional well-suited to the demands of practicing law in Thailand Bangkok. Their strong grasp of local laws, commitment to ethical standards, and excellent client service skills make them a valuable asset to their clients and the legal community. Continued professional development and adaptation to the evolving legal landscape will ensure sustained success in this vibrant jurisdiction.</w:t>
      </w:r>
    </w:p>
    <w:p>
      <w:pPr>
        <w:pStyle w:val="BodyText"/>
      </w:pPr>
      <w:r>
        <w:rPr>
          <w:bCs/>
          <w:b/>
        </w:rPr>
        <w:t xml:space="preserve">Overall Rating:</w:t>
      </w:r>
      <w:r>
        <w:t xml:space="preserve"> </w:t>
      </w:r>
      <w:r>
        <w:t xml:space="preserve">Excellent</w:t>
      </w:r>
    </w:p>
    <w:p>
      <w:pPr>
        <w:pStyle w:val="BodyText"/>
      </w:pPr>
      <w:r>
        <w:rPr>
          <w:iCs/>
          <w:i/>
        </w:rPr>
        <w:t xml:space="preserve">Report prepared by: Independent Peer Review Committee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Services in Thailand Bangkok</dc:title>
  <dc:creator/>
  <dc:language>en</dc:language>
  <cp:keywords/>
  <dcterms:created xsi:type="dcterms:W3CDTF">2026-10-10T04:34:29Z</dcterms:created>
  <dcterms:modified xsi:type="dcterms:W3CDTF">2026-10-10T04:34:29Z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