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Turkey</w:t>
      </w:r>
      <w:r>
        <w:t xml:space="preserve"> </w:t>
      </w:r>
      <w:r>
        <w:t xml:space="preserve">Ankara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Legal Practice Standards</w:t>
      </w:r>
      <w:r>
        <w:br/>
      </w:r>
      <w:r>
        <w:rPr>
          <w:bCs/>
          <w:b/>
        </w:rPr>
        <w:t xml:space="preserve">Location:</w:t>
      </w:r>
      <w:r>
        <w:t xml:space="preserve"> </w:t>
      </w:r>
      <w:r>
        <w:t xml:space="preserve">Turkey Ankara</w:t>
      </w:r>
    </w:p>
    <w:p>
      <w:pPr>
        <w:pStyle w:val="BodyText"/>
      </w:pPr>
      <w:r>
        <w:rPr>
          <w:bCs/>
          <w:b/>
        </w:rPr>
        <w:t xml:space="preserve">Date:</w:t>
      </w:r>
      <w:r>
        <w:t xml:space="preserve"> </w:t>
      </w:r>
      <w:r>
        <w:t xml:space="preserve">October 24, 2023</w:t>
      </w:r>
      <w:r>
        <w:br/>
      </w:r>
      <w:r>
        <w:rPr>
          <w:bCs/>
          <w:b/>
        </w:rPr>
        <w:t xml:space="preserve">Review Board:</w:t>
      </w:r>
      <w:r>
        <w:t xml:space="preserve"> </w:t>
      </w:r>
      <w:r>
        <w:t xml:space="preserve">Ankara Bar Association Ethics Committee</w:t>
      </w:r>
      <w:r>
        <w:br/>
      </w:r>
      <w:r>
        <w:rPr>
          <w:bCs/>
          <w:b/>
        </w:rPr>
        <w:t xml:space="preserve">Status:</w:t>
      </w:r>
      <w:r>
        <w:t xml:space="preserve"> </w:t>
      </w:r>
      <w:r>
        <w:t xml:space="preserve">Finalized</w:t>
      </w:r>
    </w:p>
    <w:bookmarkStart w:id="26" w:name="X8e704fb19aef4147f3dbc714c61a68c8075d9ba"/>
    <w:p>
      <w:pPr>
        <w:pStyle w:val="Heading1"/>
      </w:pPr>
      <w:r>
        <w:t xml:space="preserve">Peer Review Report: Evaluation of Legal Practice Standards in Turkey Ankara</w:t>
      </w:r>
    </w:p>
    <w:p>
      <w:pPr>
        <w:pStyle w:val="FirstParagraph"/>
      </w:pPr>
      <w:r>
        <w:t xml:space="preserve">This Peer Review Report serves as a comprehensive evaluation of the professional conduct, technical competence, and ethical adherence of a Lawyer practicing within the jurisdiction of Turkey Ankara. The purpose of this document is to ensure that legal services provided in the capital city meet the rigorous standards set forth by the Turkish Bar Association (Türkiye Barolar Birliği) and the specific regulations of the Ankara Bar Association (Ankara Barosu). As the seat of the Turkish government, Ankara presents a unique legal landscape characterized by complex administrative law, high-stakes corporate litigation, and intricate constitutional matters. Consequently, the expectations for a Lawyer operating in this region are exceptionally high.</w:t>
      </w:r>
    </w:p>
    <w:bookmarkStart w:id="20" w:name="introduction-and-scope-of-review"/>
    <w:p>
      <w:pPr>
        <w:pStyle w:val="Heading2"/>
      </w:pPr>
      <w:r>
        <w:t xml:space="preserve">1. Introduction and Scope of Review</w:t>
      </w:r>
    </w:p>
    <w:p>
      <w:pPr>
        <w:pStyle w:val="FirstParagraph"/>
      </w:pPr>
      <w:r>
        <w:t xml:space="preserve">The scope of this Peer Review Report encompasses a detailed analysis of the subject Lawyer’s case management, client communication, ethical compliance, and substantive legal knowledge. The review was conducted by a panel of senior attorneys and legal scholars specializing in the Turkish legal system. The primary objective is to assess whether the Lawyer maintains the integrity and professionalism required to represent clients effectively in the courts of Turkey Ankara. This evaluation is critical not only for the protection of the public but also for the preservation of the reputation of the legal profession in the nation's capital.</w:t>
      </w:r>
    </w:p>
    <w:p>
      <w:pPr>
        <w:pStyle w:val="BodyText"/>
      </w:pPr>
      <w:r>
        <w:t xml:space="preserve">The review process involved an examination of anonymized case files, interviews with colleagues, and a review of court records from the Ankara Civil Courts of First Instance and the Ankara Administrative Courts. The findings presented in this report are based on factual evidence and established legal precedents within the Turkish jurisdiction.</w:t>
      </w:r>
    </w:p>
    <w:bookmarkEnd w:id="20"/>
    <w:bookmarkStart w:id="21" w:name="Xc9f808e10df0a0cb7a013904c084b86d539ab7a"/>
    <w:p>
      <w:pPr>
        <w:pStyle w:val="Heading2"/>
      </w:pPr>
      <w:r>
        <w:t xml:space="preserve">2. Professional Competence and Legal Knowledge</w:t>
      </w:r>
    </w:p>
    <w:p>
      <w:pPr>
        <w:pStyle w:val="FirstParagraph"/>
      </w:pPr>
      <w:r>
        <w:t xml:space="preserve">A fundamental requirement for any Lawyer in Turkey Ankara is a profound understanding of both national legislation and local procedural nuances. The review indicates that the subject Lawyer demonstrates a strong command of the Turkish Civil Code (Türk Medeni Kanunu), the Turkish Code of Obligations (Türk Borçlar Kanunu), and the Code of Civil Procedure (Hukuk Muhakemeleri Kanunu). Given Ankara’s status as the administrative center, proficiency in Administrative Law is particularly vital. The Lawyer has shown the ability to navigate the complexities of the Council of State (Danıştay) procedures, which is a significant asset for clients seeking judicial review of government actions.</w:t>
      </w:r>
    </w:p>
    <w:p>
      <w:pPr>
        <w:pStyle w:val="BodyText"/>
      </w:pPr>
      <w:r>
        <w:t xml:space="preserve">Furthermore, the Lawyer’s ability to draft legal documents in precise and formal Turkish is commended. In the context of Turkey Ankara, where legal terminology can be highly technical, clarity in drafting is essential to avoid procedural dismissals. The review confirms that the Lawyer’s submissions are well-researched, logically structured, and compliant with the formatting requirements of the Ankara courts.</w:t>
      </w:r>
    </w:p>
    <w:bookmarkEnd w:id="21"/>
    <w:bookmarkStart w:id="22" w:name="X4ce211acb8b02978b825403f312638d11fa1afd"/>
    <w:p>
      <w:pPr>
        <w:pStyle w:val="Heading2"/>
      </w:pPr>
      <w:r>
        <w:t xml:space="preserve">3. Ethical Standards and Professional Conduct</w:t>
      </w:r>
    </w:p>
    <w:p>
      <w:pPr>
        <w:pStyle w:val="FirstParagraph"/>
      </w:pPr>
      <w:r>
        <w:t xml:space="preserve">Adherence to the Code of Professional Ethics (Meslek Ahlak Kuralları) is non-negotiable for a Lawyer in Turkey. This Peer Review Report places significant emphasis on ethical behavior, including confidentiality, conflict of interest management, and honesty before the court. The investigation found no evidence of ethical violations. The Lawyer has consistently maintained client confidentiality, a cornerstone of the attorney-client relationship in Turkey.</w:t>
      </w:r>
    </w:p>
    <w:p>
      <w:pPr>
        <w:pStyle w:val="BodyText"/>
      </w:pPr>
      <w:r>
        <w:t xml:space="preserve">In the bustling legal environment of Ankara, where networking is common, the potential for conflicts of interest is high. The review confirms that the Lawyer employs a robust conflict-checking system before accepting new mandates. This diligence is crucial for maintaining the trust of the judiciary and the public. Additionally, the Lawyer’s interactions with judges and opposing counsel in Ankara have been characterized by respect and professionalism, upholding the dignity of the legal profession.</w:t>
      </w:r>
    </w:p>
    <w:bookmarkEnd w:id="22"/>
    <w:bookmarkStart w:id="23" w:name="client-relations-and-communication"/>
    <w:p>
      <w:pPr>
        <w:pStyle w:val="Heading2"/>
      </w:pPr>
      <w:r>
        <w:t xml:space="preserve">4. Client Relations and Communication</w:t>
      </w:r>
    </w:p>
    <w:p>
      <w:pPr>
        <w:pStyle w:val="FirstParagraph"/>
      </w:pPr>
      <w:r>
        <w:t xml:space="preserve">Effective communication is a key metric in this Peer Review Report. A Lawyer in Turkey Ankara must be able to explain complex legal concepts to clients who may not be familiar with the intricacies of the Turkish legal system. The review highlights that the subject Lawyer excels in providing clear, timely, and realistic updates to clients. This is particularly important in litigation matters, where delays can be common in the Turkish court system.</w:t>
      </w:r>
    </w:p>
    <w:p>
      <w:pPr>
        <w:pStyle w:val="BodyText"/>
      </w:pPr>
      <w:r>
        <w:t xml:space="preserve">The Lawyer demonstrates cultural sensitivity and linguistic competence, which is essential in Ankara, a city that hosts a diverse population including expatriates and international organizations. The ability to communicate effectively in English, alongside Turkish, has been noted as a positive attribute, facilitating better service for international clients operating within the Turkish capital.</w:t>
      </w:r>
    </w:p>
    <w:bookmarkEnd w:id="23"/>
    <w:bookmarkStart w:id="24" w:name="case-management-and-efficiency"/>
    <w:p>
      <w:pPr>
        <w:pStyle w:val="Heading2"/>
      </w:pPr>
      <w:r>
        <w:t xml:space="preserve">5. Case Management and Efficiency</w:t>
      </w:r>
    </w:p>
    <w:p>
      <w:pPr>
        <w:pStyle w:val="FirstParagraph"/>
      </w:pPr>
      <w:r>
        <w:t xml:space="preserve">The efficiency of a Lawyer is measured by their ability to manage caseloads without compromising the quality of representation. The review of the Lawyer’s docket reveals a systematic approach to case management. Deadlines for filings, appeals, and evidence submission in the Ankara courts are strictly monitored. This organizational skill is vital in Turkey, where missing a procedural deadline can result in the forfeiture of legal rights.</w:t>
      </w:r>
    </w:p>
    <w:p>
      <w:pPr>
        <w:pStyle w:val="BodyText"/>
      </w:pPr>
      <w:r>
        <w:t xml:space="preserve">The Lawyer utilizes modern legal technology to track case progress and manage documents, ensuring that all filings are submitted electronically through the E-Devlet and E-Usul systems as required by Turkish law. This technological proficiency enhances the overall efficiency of the legal services provided.</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subject Lawyer meets and, in many areas, exceeds the professional standards expected of legal practitioners in Turkey Ankara. The Lawyer’s combination of substantive legal knowledge, ethical integrity, and effective client communication makes them a valuable asset to the legal community. The review board recommends the continued practice of law without restriction.</w:t>
      </w:r>
    </w:p>
    <w:p>
      <w:pPr>
        <w:pStyle w:val="BodyText"/>
      </w:pPr>
      <w:r>
        <w:t xml:space="preserve">It is recommended that the Lawyer continues to engage in continuing legal education (CLE) to stay abreast of recent legislative changes in Turkey, particularly in the areas of commercial law and digital rights. Furthermore, maintaining the high level of ethical vigilance observed in this review is essential for long-term success in the competitive legal market of Ankara.</w:t>
      </w:r>
    </w:p>
    <w:p>
      <w:pPr>
        <w:pStyle w:val="BodyText"/>
      </w:pPr>
      <w:r>
        <w:rPr>
          <w:bCs/>
          <w:b/>
        </w:rPr>
        <w:t xml:space="preserve">Prepared by:</w:t>
      </w:r>
      <w:r>
        <w:br/>
      </w:r>
      <w:r>
        <w:t xml:space="preserve">The Peer Review Committee</w:t>
      </w:r>
      <w:r>
        <w:br/>
      </w:r>
      <w:r>
        <w:t xml:space="preserve">Ankara Bar Association</w:t>
      </w:r>
      <w:r>
        <w:br/>
      </w:r>
      <w:r>
        <w:t xml:space="preserve">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Services in Turkey Ankara</dc:title>
  <dc:creator/>
  <dc:language>en</dc:language>
  <cp:keywords/>
  <dcterms:created xsi:type="dcterms:W3CDTF">2026-10-10T01:58:51Z</dcterms:created>
  <dcterms:modified xsi:type="dcterms:W3CDTF">2026-10-10T01:58:51Z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