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Turkey</w:t>
      </w:r>
      <w:r>
        <w:t xml:space="preserve"> </w:t>
      </w:r>
      <w:r>
        <w:t xml:space="preserve">Istanbul</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Practice Standards</w:t>
      </w:r>
      <w:r>
        <w:br/>
      </w: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TR-IST-LAW-2023-001</w:t>
      </w:r>
    </w:p>
    <w:bookmarkStart w:id="26" w:name="Xba075bbe2bae2e31fdeded580d6476b4d86a87f"/>
    <w:p>
      <w:pPr>
        <w:pStyle w:val="Heading1"/>
      </w:pPr>
      <w:r>
        <w:t xml:space="preserve">Peer Review Report: Evaluation of Legal Practice Standards in Turkey Istanbul</w:t>
      </w:r>
    </w:p>
    <w:p>
      <w:pPr>
        <w:pStyle w:val="FirstParagraph"/>
      </w:pPr>
      <w:r>
        <w:t xml:space="preserve">This Peer Review Report serves as a comprehensive evaluation of the professional standards, ethical compliance, and operational efficacy of a Lawyer practicing within the jurisdiction of Turkey Istanbul. The purpose of this document is to assess the quality of legal services provided, ensuring alignment with the regulations set forth by the Istanbul Bar Association (İstanbul Barosu) and the broader Turkish Bar Association (Türkiye Barolar Birliği). As the legal landscape in Turkey Istanbul is characterized by a complex interplay of civil law traditions, commercial regulations, and international trade dynamics, this review focuses on the specific competencies required to navigate this environment effectively.</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analysis of the Lawyer’s case management, client communication, legal research capabilities, and adherence to professional ethics. Turkey Istanbul, being the economic and cultural hub of the nation, presents unique challenges for legal practitioners. The high volume of litigation, the diversity of international clients, and the rapid evolution of commercial laws necessitate a Lawyer who is not only knowledgeable but also adaptable and culturally competent. This report evaluates whether the subject meets these rigorous demands.</w:t>
      </w:r>
    </w:p>
    <w:bookmarkEnd w:id="20"/>
    <w:bookmarkStart w:id="21" w:name="Xc9f808e10df0a0cb7a013904c084b86d539ab7a"/>
    <w:p>
      <w:pPr>
        <w:pStyle w:val="Heading2"/>
      </w:pPr>
      <w:r>
        <w:t xml:space="preserve">2. Professional Competence and Legal Knowledge</w:t>
      </w:r>
    </w:p>
    <w:p>
      <w:pPr>
        <w:pStyle w:val="FirstParagraph"/>
      </w:pPr>
      <w:r>
        <w:t xml:space="preserve">A fundamental aspect of this Peer Review Report is the assessment of the Lawyer’s substantive legal knowledge. In the context of Turkey Istanbul, a competent Lawyer must possess a deep understanding of the Turkish Civil Code, the Turkish Commercial Code, and relevant procedural laws. The review indicates that the Lawyer demonstrates a robust grasp of local statutes, which is essential for effective representation in Istanbul’s courts.</w:t>
      </w:r>
    </w:p>
    <w:p>
      <w:pPr>
        <w:pStyle w:val="BodyText"/>
      </w:pPr>
      <w:r>
        <w:t xml:space="preserve">Furthermore, given Istanbul’s status as a global business center, the Lawyer’s ability to handle cross-border transactions and international arbitration is critical. The evaluation highlights the Lawyer’s proficiency in navigating the intersection of Turkish domestic law and international legal frameworks. This dual competency is vital for clients operating in Turkey Istanbul, where foreign investment and multinational corporate structures are prevalent. The Lawyer’s capacity to interpret complex legal texts and apply them to specific factual scenarios reflects a high standard of professional competence.</w:t>
      </w:r>
    </w:p>
    <w:bookmarkEnd w:id="21"/>
    <w:bookmarkStart w:id="22" w:name="X4ce211acb8b02978b825403f312638d11fa1afd"/>
    <w:p>
      <w:pPr>
        <w:pStyle w:val="Heading2"/>
      </w:pPr>
      <w:r>
        <w:t xml:space="preserve">3. Ethical Standards and Professional Conduct</w:t>
      </w:r>
    </w:p>
    <w:p>
      <w:pPr>
        <w:pStyle w:val="FirstParagraph"/>
      </w:pPr>
      <w:r>
        <w:t xml:space="preserve">Adherence to ethical standards is a cornerstone of the legal profession, and this Peer Review Report places significant emphasis on this area. The Lawyer is expected to comply with the Code of Ethics and Professional Conduct established by the Istanbul Bar Association. The review confirms that the Lawyer maintains strict confidentiality, avoids conflicts of interest, and upholds the dignity of the profession.</w:t>
      </w:r>
    </w:p>
    <w:p>
      <w:pPr>
        <w:pStyle w:val="BodyText"/>
      </w:pPr>
      <w:r>
        <w:t xml:space="preserve">In Turkey Istanbul, where legal networks are tight-knit and reputation is paramount, ethical lapses can have severe consequences. The Lawyer’s conduct during negotiations, court proceedings, and client interactions has been observed to be professional and respectful. The commitment to integrity ensures that the Lawyer not only serves the client’s best interests but also contributes positively to the rule of law in Turkey Istanbul. This alignment with ethical norms is essential for maintaining public trust in the legal system.</w:t>
      </w:r>
    </w:p>
    <w:bookmarkEnd w:id="22"/>
    <w:bookmarkStart w:id="23" w:name="X0aa081500259e57860e9b7ba8ba005653ef0f89"/>
    <w:p>
      <w:pPr>
        <w:pStyle w:val="Heading2"/>
      </w:pPr>
      <w:r>
        <w:t xml:space="preserve">4. Client Communication and Service Delivery</w:t>
      </w:r>
    </w:p>
    <w:p>
      <w:pPr>
        <w:pStyle w:val="FirstParagraph"/>
      </w:pPr>
      <w:r>
        <w:t xml:space="preserve">Effective communication is a critical component of legal practice, particularly in a diverse and dynamic environment like Turkey Istanbul. This Peer Review Report evaluates the Lawyer’s ability to communicate complex legal concepts clearly and concisely to clients. The Lawyer demonstrates strong interpersonal skills, ensuring that clients are well-informed about their legal rights, obligations, and the potential outcomes of their cases.</w:t>
      </w:r>
    </w:p>
    <w:p>
      <w:pPr>
        <w:pStyle w:val="BodyText"/>
      </w:pPr>
      <w:r>
        <w:t xml:space="preserve">The review also assesses the Lawyer’s responsiveness and accessibility. In the fast-paced legal market of Turkey Istanbul, timely communication is crucial. The Lawyer’s prompt replies to inquiries and regular updates on case progress reflect a client-centered approach. Additionally, the Lawyer’s ability to communicate in multiple languages, including English, enhances their capacity to serve international clients operating in Turkey Istanbul. This linguistic versatility is a significant asset in a globalized legal environment.</w:t>
      </w:r>
    </w:p>
    <w:bookmarkEnd w:id="23"/>
    <w:bookmarkStart w:id="24" w:name="X4bbd47498fce7d19e1b7124c895b197b59c43da"/>
    <w:p>
      <w:pPr>
        <w:pStyle w:val="Heading2"/>
      </w:pPr>
      <w:r>
        <w:t xml:space="preserve">5. Case Management and Operational Efficiency</w:t>
      </w:r>
    </w:p>
    <w:p>
      <w:pPr>
        <w:pStyle w:val="FirstParagraph"/>
      </w:pPr>
      <w:r>
        <w:t xml:space="preserve">The efficiency of case management is another key focus of this Peer Review Report. The Lawyer’s organizational skills, attention to detail, and ability to meet deadlines are essential for successful legal practice. The review indicates that the Lawyer employs systematic methods for managing case files, tracking court dates, and coordinating with other legal professionals.</w:t>
      </w:r>
    </w:p>
    <w:p>
      <w:pPr>
        <w:pStyle w:val="BodyText"/>
      </w:pPr>
      <w:r>
        <w:t xml:space="preserve">In Turkey Istanbul, where court schedules can be congested and procedural requirements are stringent, effective case management is vital. The Lawyer’s proactive approach to litigation and transactional work ensures that cases are handled efficiently and without unnecessary delays. The use of modern legal technology and digital tools further enhances the Lawyer’s operational efficiency, allowing for better resource allocation and improved service delivery.</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Lawyer meets the high standards expected of legal practitioners in Turkey Istanbul. The Lawyer’s professional competence, ethical conduct, communication skills, and operational efficiency demonstrate a commitment to excellence in legal practice. The ability to navigate the complex legal landscape of Turkey Istanbul, while maintaining integrity and client focus, positions the Lawyer as a valuable asset to the legal community.</w:t>
      </w:r>
    </w:p>
    <w:p>
      <w:pPr>
        <w:pStyle w:val="BodyText"/>
      </w:pPr>
      <w:r>
        <w:rPr>
          <w:bCs/>
          <w:b/>
        </w:rPr>
        <w:t xml:space="preserve">Key Takeaway:</w:t>
      </w:r>
      <w:r>
        <w:t xml:space="preserve"> </w:t>
      </w:r>
      <w:r>
        <w:t xml:space="preserve">The Lawyer’s practice in Turkey Istanbul exemplifies the balance between traditional legal expertise and modern professional standards, ensuring reliable and effective legal services for a diverse clientele.</w:t>
      </w:r>
    </w:p>
    <w:p>
      <w:pPr>
        <w:pStyle w:val="BodyText"/>
      </w:pPr>
      <w:r>
        <w:t xml:space="preserve">It is recommended that the Lawyer continue to engage in ongoing professional development to stay abreast of legal changes and emerging trends in Turkey Istanbul. Additionally, fostering stronger collaborations with international legal networks could further enhance the Lawyer’s capacity to serve global clients. This Peer Review Report serves as a testament to the Lawyer’s dedication to the profession and their contribution to the legal ecosystem of Turkey Istanbul.</w:t>
      </w:r>
    </w:p>
    <w:p>
      <w:pPr>
        <w:pStyle w:val="BodyText"/>
      </w:pPr>
      <w:r>
        <w:t xml:space="preserve">Prepared by:</w:t>
      </w:r>
      <w:r>
        <w:br/>
      </w:r>
      <w:r>
        <w:t xml:space="preserve">Independent Peer Review Committee</w:t>
      </w:r>
      <w:r>
        <w:br/>
      </w:r>
      <w:r>
        <w:t xml:space="preserve">Legal Standards Evaluation Board</w:t>
      </w:r>
      <w:r>
        <w:br/>
      </w:r>
      <w:r>
        <w:t xml:space="preserve">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Turkey Istanbul</dc:title>
  <dc:creator/>
  <dc:language>en</dc:language>
  <cp:keywords/>
  <dcterms:created xsi:type="dcterms:W3CDTF">2026-10-10T02:03:07Z</dcterms:created>
  <dcterms:modified xsi:type="dcterms:W3CDTF">2026-10-10T02:03:07Z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