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Abu</w:t>
      </w:r>
      <w:r>
        <w:t xml:space="preserve"> </w:t>
      </w:r>
      <w:r>
        <w:t xml:space="preserve">Dhabi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Compliance</w:t>
      </w:r>
      <w:r>
        <w:br/>
      </w:r>
      <w:r>
        <w:rPr>
          <w:bCs/>
          <w:b/>
        </w:rPr>
        <w:t xml:space="preserve">Jurisdiction:</w:t>
      </w:r>
      <w:r>
        <w:t xml:space="preserve"> </w:t>
      </w:r>
      <w:r>
        <w:t xml:space="preserve">United Arab Emirates, Abu Dhabi</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AD-LR-2023-089</w:t>
      </w:r>
      <w:r>
        <w:br/>
      </w:r>
      <w:r>
        <w:rPr>
          <w:bCs/>
          <w:b/>
        </w:rPr>
        <w:t xml:space="preserve">Confidentiality:</w:t>
      </w:r>
      <w:r>
        <w:t xml:space="preserve"> </w:t>
      </w:r>
      <w:r>
        <w:t xml:space="preserve">Strictly Confidential</w:t>
      </w:r>
    </w:p>
    <w:bookmarkStart w:id="29" w:name="X99ebfc01f6e6d0f8daf3d9e7ddc14d69c789583"/>
    <w:p>
      <w:pPr>
        <w:pStyle w:val="Heading1"/>
      </w:pPr>
      <w:r>
        <w:t xml:space="preserve">Peer Review Report: Assessment of Legal Practice Standards</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ethical compliance, and technical competence of a practicing</w:t>
      </w:r>
      <w:r>
        <w:t xml:space="preserve"> </w:t>
      </w:r>
      <w:r>
        <w:rPr>
          <w:bCs/>
          <w:b/>
        </w:rPr>
        <w:t xml:space="preserve">Lawyer</w:t>
      </w:r>
      <w:r>
        <w:t xml:space="preserve"> </w:t>
      </w:r>
      <w:r>
        <w:t xml:space="preserve">operating within the jurisdiction of</w:t>
      </w:r>
      <w:r>
        <w:t xml:space="preserve"> </w:t>
      </w:r>
      <w:r>
        <w:rPr>
          <w:bCs/>
          <w:b/>
        </w:rPr>
        <w:t xml:space="preserve">United Arab Emirates Abu Dhabi</w:t>
      </w:r>
      <w:r>
        <w:t xml:space="preserve">. The purpose of this review is to ensure that the legal services provided align with the rigorous expectations set forth by the Abu Dhabi Judicial Department (ADJD), the Department of Economic Development (DED), and the relevant international legal standards applicable to the region.</w:t>
      </w:r>
    </w:p>
    <w:p>
      <w:pPr>
        <w:pStyle w:val="BodyText"/>
      </w:pPr>
      <w:r>
        <w:t xml:space="preserve">The legal landscape in</w:t>
      </w:r>
      <w:r>
        <w:t xml:space="preserve"> </w:t>
      </w:r>
      <w:r>
        <w:rPr>
          <w:bCs/>
          <w:b/>
        </w:rPr>
        <w:t xml:space="preserve">United Arab Emirates Abu Dhabi</w:t>
      </w:r>
      <w:r>
        <w:t xml:space="preserve"> </w:t>
      </w:r>
      <w:r>
        <w:t xml:space="preserve">is characterized by a unique dual system comprising Federal Civil Law and Sharia Law, alongside specialized regulations governing the Abu Dhabi Global Market (ADGM). Consequently, a</w:t>
      </w:r>
      <w:r>
        <w:t xml:space="preserve"> </w:t>
      </w:r>
      <w:r>
        <w:rPr>
          <w:bCs/>
          <w:b/>
        </w:rPr>
        <w:t xml:space="preserve">Lawyer</w:t>
      </w:r>
      <w:r>
        <w:t xml:space="preserve"> </w:t>
      </w:r>
      <w:r>
        <w:t xml:space="preserve">practicing in this environment must demonstrate not only mastery of statutory interpretation but also a profound understanding of cultural nuances and regulatory frameworks. This report details the findings of a comprehensive audit of case files, client communications, and procedural adherence.</w:t>
      </w:r>
    </w:p>
    <w:bookmarkStart w:id="20" w:name="executive-summary"/>
    <w:p>
      <w:pPr>
        <w:pStyle w:val="Heading2"/>
      </w:pPr>
      <w:r>
        <w:t xml:space="preserve">1. Executive Summary</w:t>
      </w:r>
    </w:p>
    <w:p>
      <w:pPr>
        <w:pStyle w:val="FirstParagraph"/>
      </w:pPr>
      <w:r>
        <w:t xml:space="preserve">The subject</w:t>
      </w:r>
      <w:r>
        <w:t xml:space="preserve"> </w:t>
      </w:r>
      <w:r>
        <w:rPr>
          <w:bCs/>
          <w:b/>
        </w:rPr>
        <w:t xml:space="preserve">Lawyer</w:t>
      </w:r>
      <w:r>
        <w:t xml:space="preserve"> </w:t>
      </w:r>
      <w:r>
        <w:t xml:space="preserve">has been assessed based on a random selection of twenty (20) active and closed files spanning commercial litigation, corporate governance, and real estate disputes. The overall rating for the</w:t>
      </w:r>
      <w:r>
        <w:t xml:space="preserve"> </w:t>
      </w:r>
      <w:r>
        <w:rPr>
          <w:bCs/>
          <w:b/>
        </w:rPr>
        <w:t xml:space="preserve">Lawyer</w:t>
      </w:r>
      <w:r>
        <w:t xml:space="preserve"> </w:t>
      </w:r>
      <w:r>
        <w:t xml:space="preserve">is "Satisfactory with Areas for Improvement." While the legal research and drafting capabilities are robust, there are specific concerns regarding the documentation of client instructions and the timely filing of motions within the Abu Dhabi courts.</w:t>
      </w:r>
    </w:p>
    <w:bookmarkEnd w:id="20"/>
    <w:bookmarkStart w:id="21" w:name="scope-of-the-peer-review"/>
    <w:p>
      <w:pPr>
        <w:pStyle w:val="Heading2"/>
      </w:pPr>
      <w:r>
        <w:t xml:space="preserve">2. Scope of the Peer Review</w:t>
      </w:r>
    </w:p>
    <w:p>
      <w:pPr>
        <w:pStyle w:val="FirstParagraph"/>
      </w:pPr>
      <w:r>
        <w:t xml:space="preserve">This</w:t>
      </w:r>
      <w:r>
        <w:t xml:space="preserve"> </w:t>
      </w:r>
      <w:r>
        <w:rPr>
          <w:bCs/>
          <w:b/>
        </w:rPr>
        <w:t xml:space="preserve">Peer Review Report</w:t>
      </w:r>
      <w:r>
        <w:t xml:space="preserve"> </w:t>
      </w:r>
      <w:r>
        <w:t xml:space="preserve">focuses on the following critical areas relevant to legal practice in</w:t>
      </w:r>
      <w:r>
        <w:t xml:space="preserve"> </w:t>
      </w:r>
      <w:r>
        <w:rPr>
          <w:bCs/>
          <w:b/>
        </w:rPr>
        <w:t xml:space="preserve">United Arab Emirates Abu Dhabi</w:t>
      </w:r>
      <w:r>
        <w:t xml:space="preserve">:</w:t>
      </w:r>
    </w:p>
    <w:p>
      <w:pPr>
        <w:numPr>
          <w:ilvl w:val="0"/>
          <w:numId w:val="1001"/>
        </w:numPr>
        <w:pStyle w:val="Compact"/>
      </w:pPr>
      <w:r>
        <w:rPr>
          <w:bCs/>
          <w:b/>
        </w:rPr>
        <w:t xml:space="preserve">Regulatory Compliance:</w:t>
      </w:r>
      <w:r>
        <w:t xml:space="preserve"> </w:t>
      </w:r>
      <w:r>
        <w:t xml:space="preserve">Adherence to the Code of Conduct for Advocates in the UAE and specific Abu Dhabi regulations.</w:t>
      </w:r>
    </w:p>
    <w:p>
      <w:pPr>
        <w:numPr>
          <w:ilvl w:val="0"/>
          <w:numId w:val="1001"/>
        </w:numPr>
        <w:pStyle w:val="Compact"/>
      </w:pPr>
      <w:r>
        <w:rPr>
          <w:bCs/>
          <w:b/>
        </w:rPr>
        <w:t xml:space="preserve">Conflict of Interest:</w:t>
      </w:r>
      <w:r>
        <w:t xml:space="preserve"> </w:t>
      </w:r>
      <w:r>
        <w:t xml:space="preserve">Procedures for identifying and managing conflicts within a multi-jurisdictional context.</w:t>
      </w:r>
    </w:p>
    <w:p>
      <w:pPr>
        <w:numPr>
          <w:ilvl w:val="0"/>
          <w:numId w:val="1001"/>
        </w:numPr>
        <w:pStyle w:val="Compact"/>
      </w:pPr>
      <w:r>
        <w:rPr>
          <w:bCs/>
          <w:b/>
        </w:rPr>
        <w:t xml:space="preserve">Client Care:</w:t>
      </w:r>
      <w:r>
        <w:t xml:space="preserve"> </w:t>
      </w:r>
      <w:r>
        <w:t xml:space="preserve">Quality of communication, fee transparency, and management of client expectations.</w:t>
      </w:r>
    </w:p>
    <w:p>
      <w:pPr>
        <w:numPr>
          <w:ilvl w:val="0"/>
          <w:numId w:val="1001"/>
        </w:numPr>
        <w:pStyle w:val="Compact"/>
      </w:pPr>
      <w:r>
        <w:rPr>
          <w:bCs/>
          <w:b/>
        </w:rPr>
        <w:t xml:space="preserve">Technical Competence:</w:t>
      </w:r>
      <w:r>
        <w:t xml:space="preserve"> </w:t>
      </w:r>
      <w:r>
        <w:t xml:space="preserve">Accuracy of legal advice regarding UAE Federal Laws and local Abu Dhabi decrees.</w:t>
      </w:r>
    </w:p>
    <w:p>
      <w:pPr>
        <w:numPr>
          <w:ilvl w:val="0"/>
          <w:numId w:val="1001"/>
        </w:numPr>
        <w:pStyle w:val="Compact"/>
      </w:pPr>
      <w:r>
        <w:rPr>
          <w:bCs/>
          <w:b/>
        </w:rPr>
        <w:t xml:space="preserve">Case Management:</w:t>
      </w:r>
      <w:r>
        <w:t xml:space="preserve"> </w:t>
      </w:r>
      <w:r>
        <w:t xml:space="preserve">Efficiency in handling court procedures and deadlines.</w:t>
      </w:r>
    </w:p>
    <w:bookmarkEnd w:id="21"/>
    <w:bookmarkStart w:id="26" w:name="detailed-findings"/>
    <w:p>
      <w:pPr>
        <w:pStyle w:val="Heading2"/>
      </w:pPr>
      <w:r>
        <w:t xml:space="preserve">3. Detailed Findings</w:t>
      </w:r>
    </w:p>
    <w:bookmarkStart w:id="22" w:name="regulatory-compliance-and-ethics"/>
    <w:p>
      <w:pPr>
        <w:pStyle w:val="Heading3"/>
      </w:pPr>
      <w:r>
        <w:t xml:space="preserve">3.1 Regulatory Compliance and Ethics</w:t>
      </w:r>
    </w:p>
    <w:p>
      <w:pPr>
        <w:pStyle w:val="FirstParagraph"/>
      </w:pPr>
      <w:r>
        <w:t xml:space="preserve">The</w:t>
      </w:r>
      <w:r>
        <w:t xml:space="preserve"> </w:t>
      </w:r>
      <w:r>
        <w:rPr>
          <w:bCs/>
          <w:b/>
        </w:rPr>
        <w:t xml:space="preserve">Lawyer</w:t>
      </w:r>
      <w:r>
        <w:t xml:space="preserve"> </w:t>
      </w:r>
      <w:r>
        <w:t xml:space="preserve">demonstrates a strong commitment to the ethical standards required in</w:t>
      </w:r>
      <w:r>
        <w:t xml:space="preserve"> </w:t>
      </w:r>
      <w:r>
        <w:rPr>
          <w:bCs/>
          <w:b/>
        </w:rPr>
        <w:t xml:space="preserve">United Arab Emirates Abu Dhabi</w:t>
      </w:r>
      <w:r>
        <w:t xml:space="preserve">. The review confirms that the</w:t>
      </w:r>
      <w:r>
        <w:t xml:space="preserve"> </w:t>
      </w:r>
      <w:r>
        <w:rPr>
          <w:bCs/>
          <w:b/>
        </w:rPr>
        <w:t xml:space="preserve">Lawyer</w:t>
      </w:r>
      <w:r>
        <w:t xml:space="preserve"> </w:t>
      </w:r>
      <w:r>
        <w:t xml:space="preserve">maintains valid registration with the Abu Dhabi Advocates Union. However, the</w:t>
      </w:r>
      <w:r>
        <w:t xml:space="preserve"> </w:t>
      </w:r>
      <w:r>
        <w:rPr>
          <w:bCs/>
          <w:b/>
        </w:rPr>
        <w:t xml:space="preserve">Peer Review Report</w:t>
      </w:r>
      <w:r>
        <w:t xml:space="preserve"> </w:t>
      </w:r>
      <w:r>
        <w:t xml:space="preserve">notes that while the</w:t>
      </w:r>
      <w:r>
        <w:t xml:space="preserve"> </w:t>
      </w:r>
      <w:r>
        <w:rPr>
          <w:bCs/>
          <w:b/>
        </w:rPr>
        <w:t xml:space="preserve">Lawyer</w:t>
      </w:r>
      <w:r>
        <w:t xml:space="preserve"> </w:t>
      </w:r>
      <w:r>
        <w:t xml:space="preserve">adheres to the spirit of the law, the internal documentation regarding the "Know Your Client" (KYC) process could be more rigorous. Given the strict anti-money laundering (AML) regulations enforced in Abu Dhabi, the</w:t>
      </w:r>
      <w:r>
        <w:t xml:space="preserve"> </w:t>
      </w:r>
      <w:r>
        <w:rPr>
          <w:bCs/>
          <w:b/>
        </w:rPr>
        <w:t xml:space="preserve">Lawyer</w:t>
      </w:r>
      <w:r>
        <w:t xml:space="preserve"> </w:t>
      </w:r>
      <w:r>
        <w:t xml:space="preserve">must ensure that all client identification records are updated in real-time and stored securely in accordance with UAE Federal Decree-Law No. 20 of 2018.</w:t>
      </w:r>
    </w:p>
    <w:bookmarkEnd w:id="22"/>
    <w:bookmarkStart w:id="23" w:name="technical-competence-and-legal-research"/>
    <w:p>
      <w:pPr>
        <w:pStyle w:val="Heading3"/>
      </w:pPr>
      <w:r>
        <w:t xml:space="preserve">3.2 Technical Competence and Legal Research</w:t>
      </w:r>
    </w:p>
    <w:p>
      <w:pPr>
        <w:pStyle w:val="FirstParagraph"/>
      </w:pPr>
      <w:r>
        <w:t xml:space="preserve">A significant strength identified in this</w:t>
      </w:r>
      <w:r>
        <w:t xml:space="preserve"> </w:t>
      </w:r>
      <w:r>
        <w:rPr>
          <w:bCs/>
          <w:b/>
        </w:rPr>
        <w:t xml:space="preserve">Peer Review Report</w:t>
      </w:r>
      <w:r>
        <w:t xml:space="preserve"> </w:t>
      </w:r>
      <w:r>
        <w:t xml:space="preserve">is the</w:t>
      </w:r>
      <w:r>
        <w:t xml:space="preserve"> </w:t>
      </w:r>
      <w:r>
        <w:rPr>
          <w:bCs/>
          <w:b/>
        </w:rPr>
        <w:t xml:space="preserve">Lawyer</w:t>
      </w:r>
      <w:r>
        <w:t xml:space="preserve">'s technical expertise. The analysis of drafted pleadings and legal opinions reveals a sophisticated understanding of the intersection between civil law principles and Sharia jurisprudence, which is essential for a</w:t>
      </w:r>
      <w:r>
        <w:t xml:space="preserve"> </w:t>
      </w:r>
      <w:r>
        <w:rPr>
          <w:bCs/>
          <w:b/>
        </w:rPr>
        <w:t xml:space="preserve">Lawyer</w:t>
      </w:r>
      <w:r>
        <w:t xml:space="preserve"> </w:t>
      </w:r>
      <w:r>
        <w:t xml:space="preserve">in</w:t>
      </w:r>
      <w:r>
        <w:t xml:space="preserve"> </w:t>
      </w:r>
      <w:r>
        <w:rPr>
          <w:bCs/>
          <w:b/>
        </w:rPr>
        <w:t xml:space="preserve">United Arab Emirates Abu Dhabi</w:t>
      </w:r>
      <w:r>
        <w:t xml:space="preserve">. The</w:t>
      </w:r>
      <w:r>
        <w:t xml:space="preserve"> </w:t>
      </w:r>
      <w:r>
        <w:rPr>
          <w:bCs/>
          <w:b/>
        </w:rPr>
        <w:t xml:space="preserve">Lawyer</w:t>
      </w:r>
      <w:r>
        <w:t xml:space="preserve"> </w:t>
      </w:r>
      <w:r>
        <w:t xml:space="preserve">effectively navigates the complexities of the Civil Transactions Code and the Commercial Companies Law. The quality of written submissions to the Abu Dhabi Courts is high, characterized by clear argumentation and precise citation of relevant precedents.</w:t>
      </w:r>
    </w:p>
    <w:bookmarkEnd w:id="23"/>
    <w:bookmarkStart w:id="24" w:name="client-care-and-communication"/>
    <w:p>
      <w:pPr>
        <w:pStyle w:val="Heading3"/>
      </w:pPr>
      <w:r>
        <w:t xml:space="preserve">3.3 Client Care and Communication</w:t>
      </w:r>
    </w:p>
    <w:p>
      <w:pPr>
        <w:pStyle w:val="FirstParagraph"/>
      </w:pPr>
      <w:r>
        <w:t xml:space="preserve">The review of client correspondence indicates that the</w:t>
      </w:r>
      <w:r>
        <w:t xml:space="preserve"> </w:t>
      </w:r>
      <w:r>
        <w:rPr>
          <w:bCs/>
          <w:b/>
        </w:rPr>
        <w:t xml:space="preserve">Lawyer</w:t>
      </w:r>
      <w:r>
        <w:t xml:space="preserve"> </w:t>
      </w:r>
      <w:r>
        <w:t xml:space="preserve">maintains a professional and responsive demeanor. However, the</w:t>
      </w:r>
      <w:r>
        <w:t xml:space="preserve"> </w:t>
      </w:r>
      <w:r>
        <w:rPr>
          <w:bCs/>
          <w:b/>
        </w:rPr>
        <w:t xml:space="preserve">Peer Review Report</w:t>
      </w:r>
      <w:r>
        <w:t xml:space="preserve"> </w:t>
      </w:r>
      <w:r>
        <w:t xml:space="preserve">highlights a need for improvement in the clarity of fee agreements. In the context of</w:t>
      </w:r>
      <w:r>
        <w:t xml:space="preserve"> </w:t>
      </w:r>
      <w:r>
        <w:rPr>
          <w:bCs/>
          <w:b/>
        </w:rPr>
        <w:t xml:space="preserve">United Arab Emirates Abu Dhabi</w:t>
      </w:r>
      <w:r>
        <w:t xml:space="preserve">, where clients may come from diverse international backgrounds, fee structures must be explicitly detailed to avoid misunderstandings. The</w:t>
      </w:r>
      <w:r>
        <w:t xml:space="preserve"> </w:t>
      </w:r>
      <w:r>
        <w:rPr>
          <w:bCs/>
          <w:b/>
        </w:rPr>
        <w:t xml:space="preserve">Lawyer</w:t>
      </w:r>
      <w:r>
        <w:t xml:space="preserve"> </w:t>
      </w:r>
      <w:r>
        <w:t xml:space="preserve">is advised to implement standardized engagement letters that clearly outline billing rates, disbursements, and the scope of work, ensuring full transparency.</w:t>
      </w:r>
    </w:p>
    <w:bookmarkEnd w:id="24"/>
    <w:bookmarkStart w:id="25" w:name="case-management-and-court-procedures"/>
    <w:p>
      <w:pPr>
        <w:pStyle w:val="Heading3"/>
      </w:pPr>
      <w:r>
        <w:t xml:space="preserve">3.4 Case Management and Court Procedures</w:t>
      </w:r>
    </w:p>
    <w:p>
      <w:pPr>
        <w:pStyle w:val="FirstParagraph"/>
      </w:pPr>
      <w:r>
        <w:t xml:space="preserve">The most critical finding of this</w:t>
      </w:r>
      <w:r>
        <w:t xml:space="preserve"> </w:t>
      </w:r>
      <w:r>
        <w:rPr>
          <w:bCs/>
          <w:b/>
        </w:rPr>
        <w:t xml:space="preserve">Peer Review Report</w:t>
      </w:r>
      <w:r>
        <w:t xml:space="preserve"> </w:t>
      </w:r>
      <w:r>
        <w:t xml:space="preserve">concerns case management. While the</w:t>
      </w:r>
      <w:r>
        <w:t xml:space="preserve"> </w:t>
      </w:r>
      <w:r>
        <w:rPr>
          <w:bCs/>
          <w:b/>
        </w:rPr>
        <w:t xml:space="preserve">Lawyer</w:t>
      </w:r>
      <w:r>
        <w:t xml:space="preserve"> </w:t>
      </w:r>
      <w:r>
        <w:t xml:space="preserve">is diligent, there were instances where filings were submitted on the final permissible day, increasing the risk of procedural errors. In the fast-paced environment of</w:t>
      </w:r>
      <w:r>
        <w:t xml:space="preserve"> </w:t>
      </w:r>
      <w:r>
        <w:rPr>
          <w:bCs/>
          <w:b/>
        </w:rPr>
        <w:t xml:space="preserve">United Arab Emirates Abu Dhabi</w:t>
      </w:r>
      <w:r>
        <w:t xml:space="preserve"> </w:t>
      </w:r>
      <w:r>
        <w:t xml:space="preserve">courts, strict adherence to deadlines is paramount. The</w:t>
      </w:r>
      <w:r>
        <w:t xml:space="preserve"> </w:t>
      </w:r>
      <w:r>
        <w:rPr>
          <w:bCs/>
          <w:b/>
        </w:rPr>
        <w:t xml:space="preserve">Lawyer</w:t>
      </w:r>
      <w:r>
        <w:t xml:space="preserve"> </w:t>
      </w:r>
      <w:r>
        <w:t xml:space="preserve">is recommended to adopt a more proactive calendar management system to ensure that all submissions to the Abu Dhabi Judicial Department are completed well in advance of statutory deadlines.</w:t>
      </w:r>
    </w:p>
    <w:bookmarkEnd w:id="25"/>
    <w:bookmarkEnd w:id="26"/>
    <w:bookmarkStart w:id="27" w:name="recommendations"/>
    <w:p>
      <w:pPr>
        <w:pStyle w:val="Heading2"/>
      </w:pPr>
      <w:r>
        <w:t xml:space="preserve">4.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Lawyer</w:t>
      </w:r>
      <w:r>
        <w:t xml:space="preserve"> </w:t>
      </w:r>
      <w:r>
        <w:t xml:space="preserve">to enhance their practice in</w:t>
      </w:r>
      <w:r>
        <w:t xml:space="preserve"> </w:t>
      </w:r>
      <w:r>
        <w:rPr>
          <w:bCs/>
          <w:b/>
        </w:rPr>
        <w:t xml:space="preserve">United Arab Emirates Abu Dhabi</w:t>
      </w:r>
      <w:r>
        <w:t xml:space="preserve">:</w:t>
      </w:r>
    </w:p>
    <w:p>
      <w:pPr>
        <w:numPr>
          <w:ilvl w:val="0"/>
          <w:numId w:val="1002"/>
        </w:numPr>
        <w:pStyle w:val="Compact"/>
      </w:pPr>
      <w:r>
        <w:rPr>
          <w:bCs/>
          <w:b/>
        </w:rPr>
        <w:t xml:space="preserve">Enhance KYC Protocols:</w:t>
      </w:r>
      <w:r>
        <w:t xml:space="preserve"> </w:t>
      </w:r>
      <w:r>
        <w:t xml:space="preserve">Implement a digital checklist for client onboarding to ensure full compliance with UAE AML regulations.</w:t>
      </w:r>
    </w:p>
    <w:p>
      <w:pPr>
        <w:numPr>
          <w:ilvl w:val="0"/>
          <w:numId w:val="1002"/>
        </w:numPr>
        <w:pStyle w:val="Compact"/>
      </w:pPr>
      <w:r>
        <w:rPr>
          <w:bCs/>
          <w:b/>
        </w:rPr>
        <w:t xml:space="preserve">Standardize Fee Agreements:</w:t>
      </w:r>
      <w:r>
        <w:t xml:space="preserve"> </w:t>
      </w:r>
      <w:r>
        <w:t xml:space="preserve">Develop clear, bilingual (Arabic/English) engagement letters to improve client transparency.</w:t>
      </w:r>
    </w:p>
    <w:p>
      <w:pPr>
        <w:numPr>
          <w:ilvl w:val="0"/>
          <w:numId w:val="1002"/>
        </w:numPr>
        <w:pStyle w:val="Compact"/>
      </w:pPr>
      <w:r>
        <w:rPr>
          <w:bCs/>
          <w:b/>
        </w:rPr>
        <w:t xml:space="preserve">Improve Deadline Management:</w:t>
      </w:r>
      <w:r>
        <w:t xml:space="preserve"> </w:t>
      </w:r>
      <w:r>
        <w:t xml:space="preserve">Establish internal deadlines that are at least 48 hours prior to court-imposed deadlines to mitigate risk.</w:t>
      </w:r>
    </w:p>
    <w:p>
      <w:pPr>
        <w:numPr>
          <w:ilvl w:val="0"/>
          <w:numId w:val="1002"/>
        </w:numPr>
        <w:pStyle w:val="Compact"/>
      </w:pPr>
      <w:r>
        <w:rPr>
          <w:bCs/>
          <w:b/>
        </w:rPr>
        <w:t xml:space="preserve">Continuous Professional Development:</w:t>
      </w:r>
      <w:r>
        <w:t xml:space="preserve"> </w:t>
      </w:r>
      <w:r>
        <w:t xml:space="preserve">Engage in regular training sessions focused on recent amendments to Abu Dhabi local laws and ADGM regulations.</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Lawyer</w:t>
      </w:r>
      <w:r>
        <w:t xml:space="preserve"> </w:t>
      </w:r>
      <w:r>
        <w:t xml:space="preserve">is a competent and ethical practitioner capable of delivering high-quality legal services in</w:t>
      </w:r>
      <w:r>
        <w:t xml:space="preserve"> </w:t>
      </w:r>
      <w:r>
        <w:rPr>
          <w:bCs/>
          <w:b/>
        </w:rPr>
        <w:t xml:space="preserve">United Arab Emirates Abu Dhabi</w:t>
      </w:r>
      <w:r>
        <w:t xml:space="preserve">. The identified areas for improvement are procedural and administrative in nature and do not reflect a lack of legal knowledge. By implementing the recommendations outlined above, the</w:t>
      </w:r>
      <w:r>
        <w:t xml:space="preserve"> </w:t>
      </w:r>
      <w:r>
        <w:rPr>
          <w:bCs/>
          <w:b/>
        </w:rPr>
        <w:t xml:space="preserve">Lawyer</w:t>
      </w:r>
      <w:r>
        <w:t xml:space="preserve"> </w:t>
      </w:r>
      <w:r>
        <w:t xml:space="preserve">will further solidify their reputation and ensure full alignment with the highest standards of the legal profession in the Emirate.</w:t>
      </w:r>
    </w:p>
    <w:p>
      <w:pPr>
        <w:pStyle w:val="BodyText"/>
      </w:pPr>
      <w:r>
        <w:rPr>
          <w:bCs/>
          <w:b/>
        </w:rPr>
        <w:t xml:space="preserve">Reviewed By:</w:t>
      </w:r>
      <w:r>
        <w:br/>
      </w:r>
      <w:r>
        <w:t xml:space="preserve">Senior Peer Reviewer</w:t>
      </w:r>
      <w:r>
        <w:br/>
      </w:r>
      <w:r>
        <w:t xml:space="preserve">Abu Dhabi Legal Standards Committee</w:t>
      </w:r>
    </w:p>
    <w:p>
      <w:pPr>
        <w:pStyle w:val="BodyText"/>
      </w:pPr>
      <w:r>
        <w:rPr>
          <w:bCs/>
          <w:b/>
        </w:rPr>
        <w:t xml:space="preserve">Reviewed By:</w:t>
      </w:r>
      <w:r>
        <w:br/>
      </w:r>
      <w:r>
        <w:t xml:space="preserve">Independent Legal Auditor</w:t>
      </w:r>
      <w:r>
        <w:br/>
      </w:r>
      <w:r>
        <w:t xml:space="preserve">UAE Bar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Abu Dhabi</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