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Dubai</w:t>
      </w:r>
    </w:p>
    <w:bookmarkStart w:id="29" w:name="X290a046bde47b7f99d23f8e99d631e985ca3a41"/>
    <w:p>
      <w:pPr>
        <w:pStyle w:val="Heading1"/>
      </w:pPr>
      <w:r>
        <w:t xml:space="preserve">Peer Review Report: Professional Competence and Practice Standards</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Jurisdiction:</w:t>
      </w:r>
      <w:r>
        <w:t xml:space="preserve"> </w:t>
      </w:r>
      <w:r>
        <w:t xml:space="preserve">United Arab Emirates Dubai</w:t>
      </w:r>
    </w:p>
    <w:p>
      <w:pPr>
        <w:pStyle w:val="BodyText"/>
      </w:pPr>
      <w:r>
        <w:rPr>
          <w:bCs/>
          <w:b/>
        </w:rPr>
        <w:t xml:space="preserve">Date of Report:</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Reference ID:</w:t>
      </w:r>
      <w:r>
        <w:t xml:space="preserve"> </w:t>
      </w:r>
      <w:r>
        <w:t xml:space="preserve">UAE-DXB-LAW-2023-089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technical competence, and adherence to regulatory standards of a practicing Lawyer within the jurisdiction of United Arab Emirates Dubai. The legal landscape in Dubai is characterized by a unique dual system comprising the federal civil law framework and the specialized Common Law jurisdictions found within the Dubai International Financial Centre (DIFC). Consequently, this review assesses the subject's ability to navigate these complex, overlapping legal environments effectively.</w:t>
      </w:r>
    </w:p>
    <w:p>
      <w:pPr>
        <w:pStyle w:val="BodyText"/>
      </w:pPr>
      <w:r>
        <w:t xml:space="preserve">The primary objective of this assessment is to ensure that the Lawyer maintains the high ethical and professional standards required by the Dubai Courts, the Ministry of Justice, and relevant free zone authorities. The findings presented herein are based on a thorough examination of case files, client feedback, regulatory compliance records, and peer interviews.</w:t>
      </w:r>
    </w:p>
    <w:bookmarkEnd w:id="20"/>
    <w:bookmarkStart w:id="21" w:name="Xfd6c0bd97f3326077207f184e0151b9cadf8202"/>
    <w:p>
      <w:pPr>
        <w:pStyle w:val="Heading2"/>
      </w:pPr>
      <w:r>
        <w:t xml:space="preserve">2. Regulatory Compliance and Ethical Standards</w:t>
      </w:r>
    </w:p>
    <w:p>
      <w:pPr>
        <w:pStyle w:val="FirstParagraph"/>
      </w:pPr>
      <w:r>
        <w:t xml:space="preserve">In the United Arab Emirates Dubai, the practice of law is strictly regulated. A fundamental aspect of this review is the Lawyer's adherence to the Code of Professional Conduct for Lawyers. The assessment confirms that the subject demonstrates a robust understanding of the ethical obligations imposed by local legislation.</w:t>
      </w:r>
    </w:p>
    <w:p>
      <w:pPr>
        <w:pStyle w:val="BodyText"/>
      </w:pPr>
      <w:r>
        <w:t xml:space="preserve">Key areas of compliance evaluated include:</w:t>
      </w:r>
    </w:p>
    <w:p>
      <w:pPr>
        <w:numPr>
          <w:ilvl w:val="0"/>
          <w:numId w:val="1001"/>
        </w:numPr>
        <w:pStyle w:val="Compact"/>
      </w:pPr>
      <w:r>
        <w:rPr>
          <w:bCs/>
          <w:b/>
        </w:rPr>
        <w:t xml:space="preserve">Conflict of Interest:</w:t>
      </w:r>
      <w:r>
        <w:t xml:space="preserve"> </w:t>
      </w:r>
      <w:r>
        <w:t xml:space="preserve">The Lawyer has implemented rigorous screening procedures to identify and mitigate potential conflicts of interest, a critical requirement given the interconnected nature of business in Dubai.</w:t>
      </w:r>
    </w:p>
    <w:p>
      <w:pPr>
        <w:numPr>
          <w:ilvl w:val="0"/>
          <w:numId w:val="1001"/>
        </w:numPr>
        <w:pStyle w:val="Compact"/>
      </w:pPr>
      <w:r>
        <w:rPr>
          <w:bCs/>
          <w:b/>
        </w:rPr>
        <w:t xml:space="preserve">Client Confidentiality:</w:t>
      </w:r>
      <w:r>
        <w:t xml:space="preserve"> </w:t>
      </w:r>
      <w:r>
        <w:t xml:space="preserve">Adherence to attorney-client privilege is paramount. The review found that the Lawyer maintains strict confidentiality protocols, aligning with both UAE federal laws and international best practices.</w:t>
      </w:r>
    </w:p>
    <w:p>
      <w:pPr>
        <w:numPr>
          <w:ilvl w:val="0"/>
          <w:numId w:val="1001"/>
        </w:numPr>
        <w:pStyle w:val="Compact"/>
      </w:pPr>
      <w:r>
        <w:rPr>
          <w:bCs/>
          <w:b/>
        </w:rPr>
        <w:t xml:space="preserve">Anti-Money Laundering (AML):</w:t>
      </w:r>
      <w:r>
        <w:t xml:space="preserve"> </w:t>
      </w:r>
      <w:r>
        <w:t xml:space="preserve">Given Dubai's status as a global financial hub, the Lawyer has demonstrated strict compliance with AML regulations, ensuring that all client onboarding processes meet the stringent requirements of the UAE Central Bank and local authorities.</w:t>
      </w:r>
    </w:p>
    <w:bookmarkEnd w:id="21"/>
    <w:bookmarkStart w:id="25" w:name="technical-competence-and-legal-knowledge"/>
    <w:p>
      <w:pPr>
        <w:pStyle w:val="Heading2"/>
      </w:pPr>
      <w:r>
        <w:t xml:space="preserve">3. Technical Competence and Legal Knowledge</w:t>
      </w:r>
    </w:p>
    <w:p>
      <w:pPr>
        <w:pStyle w:val="FirstParagraph"/>
      </w:pPr>
      <w:r>
        <w:t xml:space="preserve">The legal environment in United Arab Emirates Dubai requires a Lawyer to possess a versatile skill set. This section evaluates the subject's technical proficiency in handling matters across different legal domains.</w:t>
      </w:r>
    </w:p>
    <w:bookmarkStart w:id="22" w:name="civil-and-commercial-law"/>
    <w:p>
      <w:pPr>
        <w:pStyle w:val="Heading3"/>
      </w:pPr>
      <w:r>
        <w:t xml:space="preserve">3.1 Civil and Commercial Law</w:t>
      </w:r>
    </w:p>
    <w:p>
      <w:pPr>
        <w:pStyle w:val="FirstParagraph"/>
      </w:pPr>
      <w:r>
        <w:t xml:space="preserve">The Lawyer exhibits a strong command of the UAE Civil Code and Commercial Companies Law. The review of selected case files indicates a high level of competence in drafting contracts, negotiating commercial terms, and representing clients in litigation before the Dubai Courts. The subject's ability to interpret Arabic legal texts and translate them into actionable English strategies is particularly noteworthy, facilitating effective representation for international clients.</w:t>
      </w:r>
    </w:p>
    <w:bookmarkEnd w:id="22"/>
    <w:bookmarkStart w:id="23" w:name="difc-and-common-law-practice"/>
    <w:p>
      <w:pPr>
        <w:pStyle w:val="Heading3"/>
      </w:pPr>
      <w:r>
        <w:t xml:space="preserve">3.2 DIFC and Common Law Practice</w:t>
      </w:r>
    </w:p>
    <w:p>
      <w:pPr>
        <w:pStyle w:val="FirstParagraph"/>
      </w:pPr>
      <w:r>
        <w:t xml:space="preserve">A significant portion of legal work in Dubai occurs within the DIFC. This Peer Review Report assesses the Lawyer's familiarity with DIFC laws, which are based on English Common Law. The subject has demonstrated the ability to distinguish between onshore UAE law and DIFC law, ensuring that clients receive accurate advice regarding jurisdiction, enforcement of judgments, and arbitration. This dual competency is essential for a Lawyer operating effectively in the modern Dubai market.</w:t>
      </w:r>
    </w:p>
    <w:bookmarkEnd w:id="23"/>
    <w:bookmarkStart w:id="24" w:name="real-estate-and-property-law"/>
    <w:p>
      <w:pPr>
        <w:pStyle w:val="Heading3"/>
      </w:pPr>
      <w:r>
        <w:t xml:space="preserve">3.3 Real Estate and Property Law</w:t>
      </w:r>
    </w:p>
    <w:p>
      <w:pPr>
        <w:pStyle w:val="FirstParagraph"/>
      </w:pPr>
      <w:r>
        <w:t xml:space="preserve">Considering the prominence of the real estate sector in United Arab Emirates Dubai, the Lawyer's expertise in property transactions was scrutinized. The review confirms proficiency in handling matters related to the Dubai Land Department (DLD), including the registration of properties, tenancy contracts, and dispute resolution under the RERA (Real Estate Regulatory Agency) framework.</w:t>
      </w:r>
    </w:p>
    <w:bookmarkEnd w:id="24"/>
    <w:bookmarkEnd w:id="25"/>
    <w:bookmarkStart w:id="26" w:name="client-service-and-professionalism"/>
    <w:p>
      <w:pPr>
        <w:pStyle w:val="Heading2"/>
      </w:pPr>
      <w:r>
        <w:t xml:space="preserve">4. Client Service and Professionalism</w:t>
      </w:r>
    </w:p>
    <w:p>
      <w:pPr>
        <w:pStyle w:val="FirstParagraph"/>
      </w:pPr>
      <w:r>
        <w:t xml:space="preserve">The reputation of a Lawyer in Dubai is heavily dependent on client trust and service quality. This Peer Review Report incorporates feedback from a sample of current and former clients. The consensus indicates that the Lawyer is responsive, transparent, and culturally sensitive.</w:t>
      </w:r>
    </w:p>
    <w:p>
      <w:pPr>
        <w:pStyle w:val="BodyText"/>
      </w:pPr>
      <w:r>
        <w:t xml:space="preserve">The subject demonstrates an understanding of the diverse cultural backgrounds of clients in Dubai. This cultural intelligence is vital for building rapport and ensuring that legal advice is delivered in a manner that is both respectful and comprehensible. Furthermore, the Lawyer maintains clear communication channels, providing regular updates on case progress, which is a hallmark of professional excellence in the region.</w:t>
      </w:r>
    </w:p>
    <w:bookmarkEnd w:id="26"/>
    <w:bookmarkStart w:id="27" w:name="continuous-professional-development-cpd"/>
    <w:p>
      <w:pPr>
        <w:pStyle w:val="Heading2"/>
      </w:pPr>
      <w:r>
        <w:t xml:space="preserve">5. Continuous Professional Development (CPD)</w:t>
      </w:r>
    </w:p>
    <w:p>
      <w:pPr>
        <w:pStyle w:val="FirstParagraph"/>
      </w:pPr>
      <w:r>
        <w:t xml:space="preserve">The legal framework in the United Arab Emirates Dubai is dynamic, with frequent legislative updates. This review evaluates the Lawyer's commitment to Continuous Professional Development. The subject has actively participated in seminars, workshops, and training sessions organized by the Dubai Courts and the Dubai Legal Affairs Department. This commitment ensures that the Lawyer remains current with the latest legal developments, judicial precedents, and regulatory changes.</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conducted for this Peer Review Report, the Lawyer under review is deemed to be practicing at a high standard of professional competence and ethical integrity. The subject's ability to navigate the complex legal landscape of United Arab Emirates Dubai, encompassing both civil and common law jurisdictions, is commendable.</w:t>
      </w:r>
    </w:p>
    <w:p>
      <w:pPr>
        <w:pStyle w:val="BodyText"/>
      </w:pPr>
      <w:r>
        <w:rPr>
          <w:bCs/>
          <w:b/>
        </w:rPr>
        <w:t xml:space="preserve">Recommendations:</w:t>
      </w:r>
    </w:p>
    <w:p>
      <w:pPr>
        <w:numPr>
          <w:ilvl w:val="0"/>
          <w:numId w:val="1002"/>
        </w:numPr>
        <w:pStyle w:val="Compact"/>
      </w:pPr>
      <w:r>
        <w:t xml:space="preserve">Continue to enhance knowledge in emerging areas such as cryptocurrency regulation and AI in law, which are gaining traction in Dubai.</w:t>
      </w:r>
    </w:p>
    <w:p>
      <w:pPr>
        <w:numPr>
          <w:ilvl w:val="0"/>
          <w:numId w:val="1002"/>
        </w:numPr>
        <w:pStyle w:val="Compact"/>
      </w:pPr>
      <w:r>
        <w:t xml:space="preserve">Further strengthen internal compliance training for support staff to ensure uniform adherence to AML and data protection standards.</w:t>
      </w:r>
    </w:p>
    <w:p>
      <w:pPr>
        <w:numPr>
          <w:ilvl w:val="0"/>
          <w:numId w:val="1002"/>
        </w:numPr>
        <w:pStyle w:val="Compact"/>
      </w:pPr>
      <w:r>
        <w:t xml:space="preserve">Maintain active engagement with the local legal community to contribute to the development of legal standards in the region.</w:t>
      </w:r>
    </w:p>
    <w:p>
      <w:pPr>
        <w:pStyle w:val="FirstParagraph"/>
      </w:pPr>
      <w:r>
        <w:t xml:space="preserve">In conclusion, this Peer Review Report affirms that the Lawyer meets and exceeds the professional requirements expected of legal practitioners in Dubai. The subject is well-equipped to provide high-quality legal services that uphold the rule of law and support the economic growth of the United Arab Emirates.</w:t>
      </w:r>
    </w:p>
    <w:p>
      <w:pPr>
        <w:pStyle w:val="BodyText"/>
      </w:pPr>
      <w:r>
        <w:rPr>
          <w:bCs/>
          <w:b/>
        </w:rPr>
        <w:t xml:space="preserve">Reviewed By:</w:t>
      </w:r>
      <w:r>
        <w:br/>
      </w:r>
      <w:r>
        <w:t xml:space="preserve">Senior Peer Reviewer</w:t>
      </w:r>
      <w:r>
        <w:br/>
      </w:r>
      <w:r>
        <w:t xml:space="preserve">Dubai Legal Association</w:t>
      </w:r>
    </w:p>
    <w:p>
      <w:pPr>
        <w:pStyle w:val="BodyText"/>
      </w:pPr>
      <w:r>
        <w:rPr>
          <w:bCs/>
          <w:b/>
        </w:rPr>
        <w:t xml:space="preserve">Approved By:</w:t>
      </w:r>
      <w:r>
        <w:br/>
      </w:r>
      <w:r>
        <w:t xml:space="preserve">Head of Professional Standards</w:t>
      </w:r>
      <w:r>
        <w:br/>
      </w:r>
      <w:r>
        <w:t xml:space="preserve">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Dubai</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