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Legal Practice Standards</w:t>
      </w:r>
    </w:p>
    <w:p>
      <w:pPr>
        <w:pStyle w:val="BodyText"/>
      </w:pPr>
      <w:r>
        <w:rPr>
          <w:bCs/>
          <w:b/>
        </w:rPr>
        <w:t xml:space="preserve">Role Under Review:</w:t>
      </w:r>
      <w:r>
        <w:t xml:space="preserve"> </w:t>
      </w:r>
      <w:r>
        <w:t xml:space="preserve">Lawyer</w:t>
      </w:r>
    </w:p>
    <w:p>
      <w:pPr>
        <w:pStyle w:val="BodyText"/>
      </w:pPr>
      <w:r>
        <w:rPr>
          <w:bCs/>
          <w:b/>
        </w:rPr>
        <w:t xml:space="preserve">Geographic Jurisdiction:</w:t>
      </w:r>
      <w:r>
        <w:t xml:space="preserve"> </w:t>
      </w:r>
      <w:r>
        <w:t xml:space="preserve">United Kingdom Birmingham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Legal Practice Assessment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ethical compliance, and operational efficiency of a Lawyer practising within the jurisdiction of United Kingdom Birmingham. The purpose of this review is to ensure that the legal services provided align with the rigorous expectations set by the Solicitors Regulation Authority (SRA) and the broader legal community in the West Midlands.</w:t>
      </w:r>
    </w:p>
    <w:p>
      <w:pPr>
        <w:pStyle w:val="BodyText"/>
      </w:pPr>
      <w:r>
        <w:t xml:space="preserve">Birmingham, as the second-largest city in the United Kingdom, hosts a dynamic legal market characterized by a diverse mix of high-street firms, boutique specialists, and large commercial practices. Consequently, the Lawyer under review is expected to demonstrate not only technical legal proficiency but also a deep understanding of the local socio-economic landscape and the specific procedural nuances of the Birmingham courts.</w:t>
      </w:r>
    </w:p>
    <w:bookmarkEnd w:id="21"/>
    <w:bookmarkStart w:id="22" w:name="Xfd6c0bd97f3326077207f184e0151b9cadf8202"/>
    <w:p>
      <w:pPr>
        <w:pStyle w:val="Heading2"/>
      </w:pPr>
      <w:r>
        <w:t xml:space="preserve">2. Regulatory Compliance and Ethical Standards</w:t>
      </w:r>
    </w:p>
    <w:p>
      <w:pPr>
        <w:pStyle w:val="FirstParagraph"/>
      </w:pPr>
      <w:r>
        <w:t xml:space="preserve">The primary focus of this Peer Review Report is the adherence to the SRA Principles. The Lawyer has been assessed against the requirement to uphold the rule of law and the proper administration of justice. In the context of United Kingdom Birmingham, where case volumes in both civil and criminal courts are significant, the ability to manage caseloads without compromising ethical duties is paramount.</w:t>
      </w:r>
    </w:p>
    <w:p>
      <w:pPr>
        <w:pStyle w:val="BodyText"/>
      </w:pPr>
      <w:r>
        <w:t xml:space="preserve">The review confirms that the Lawyer maintains robust client care protocols. Specifically, the process for identifying and managing conflicts of interest has been scrutinized. Given the interconnected nature of the legal community in Birmingham, the Lawyer demonstrates a proactive approach to conflict checks, ensuring that no client is disadvantaged by divided loyalties. Furthermore, the handling of client money and property complies strictly with the SRA Accounts Rules, a critical component of trust in any legal practice.</w:t>
      </w:r>
    </w:p>
    <w:bookmarkEnd w:id="22"/>
    <w:bookmarkStart w:id="23" w:name="technical-competence-and-legal-knowledge"/>
    <w:p>
      <w:pPr>
        <w:pStyle w:val="Heading2"/>
      </w:pPr>
      <w:r>
        <w:t xml:space="preserve">3. Technical Competence and Legal Knowledge</w:t>
      </w:r>
    </w:p>
    <w:p>
      <w:pPr>
        <w:pStyle w:val="FirstParagraph"/>
      </w:pPr>
      <w:r>
        <w:t xml:space="preserve">A core function of this Peer Review Report is to assess the technical competence of the Lawyer. The evaluation covers the Lawyer's knowledge of substantive law and procedural rules relevant to their practice areas. Whether dealing with residential conveyancing, family law disputes, or commercial litigation, the Lawyer is expected to provide advice that is accurate, timely, and tailored to the client's specific circumstances.</w:t>
      </w:r>
    </w:p>
    <w:p>
      <w:pPr>
        <w:pStyle w:val="BodyText"/>
      </w:pPr>
      <w:r>
        <w:t xml:space="preserve">In the United Kingdom Birmingham market, legal professionals often navigate complex local authority regulations and planning laws. The Lawyer under review has demonstrated a commendable level of expertise in these areas. The review highlights the Lawyer's ability to interpret case law and statutory instruments effectively, ensuring that clients receive advice that is not only legally sound but also practically applicable within the local jurisdiction.</w:t>
      </w:r>
    </w:p>
    <w:bookmarkEnd w:id="23"/>
    <w:bookmarkStart w:id="24" w:name="client-care-and-communication"/>
    <w:p>
      <w:pPr>
        <w:pStyle w:val="Heading2"/>
      </w:pPr>
      <w:r>
        <w:t xml:space="preserve">4. Client Care and Communication</w:t>
      </w:r>
    </w:p>
    <w:p>
      <w:pPr>
        <w:pStyle w:val="FirstParagraph"/>
      </w:pPr>
      <w:r>
        <w:t xml:space="preserve">Effective communication is a cornerstone of legal practice. This Peer Review Report evaluates how the Lawyer interacts with clients, particularly those who may be vulnerable or unfamiliar with the legal system. The Lawyer is assessed on their ability to explain complex legal concepts in clear, accessible language, avoiding unnecessary jargon.</w:t>
      </w:r>
    </w:p>
    <w:p>
      <w:pPr>
        <w:pStyle w:val="BodyText"/>
      </w:pPr>
      <w:r>
        <w:t xml:space="preserve">The review notes that the Lawyer maintains regular contact with clients, providing updates on case progress and managing expectations regarding timelines and outcomes. In the busy environment of United Kingdom Birmingham, where clients may face significant stress due to legal issues, the Lawyer's empathetic and professional demeanor is a significant asset. The feedback indicates that clients feel informed and supported throughout the legal process.</w:t>
      </w:r>
    </w:p>
    <w:bookmarkEnd w:id="24"/>
    <w:bookmarkStart w:id="25" w:name="case-management-and-efficiency"/>
    <w:p>
      <w:pPr>
        <w:pStyle w:val="Heading2"/>
      </w:pPr>
      <w:r>
        <w:t xml:space="preserve">5. Case Management and Efficiency</w:t>
      </w:r>
    </w:p>
    <w:p>
      <w:pPr>
        <w:pStyle w:val="FirstParagraph"/>
      </w:pPr>
      <w:r>
        <w:t xml:space="preserve">The efficiency of legal services is a key metric in this Peer Review Report. The Lawyer is evaluated on their ability to manage cases effectively, ensuring that deadlines are met and that work is completed within a reasonable timeframe. The review examines the Lawyer's use of case management systems and their ability to prioritize tasks in a high-pressure environment.</w:t>
      </w:r>
    </w:p>
    <w:p>
      <w:pPr>
        <w:pStyle w:val="BodyText"/>
      </w:pPr>
      <w:r>
        <w:t xml:space="preserve">In United Kingdom Birmingham, where court schedules can be congested, the Lawyer's ability to anticipate procedural hurdles and plan accordingly is essential. The review finds that the Lawyer employs systematic methods for tracking case progress, which minimizes the risk of errors and delays. This level of organization contributes to the overall quality of service provided to clients.</w:t>
      </w:r>
    </w:p>
    <w:bookmarkEnd w:id="25"/>
    <w:bookmarkStart w:id="26" w:name="Xa12bee56445c7e2d637269490abf0f6f569c63c"/>
    <w:p>
      <w:pPr>
        <w:pStyle w:val="Heading2"/>
      </w:pPr>
      <w:r>
        <w:t xml:space="preserve">6. Professional Development and Continuous Improvement</w:t>
      </w:r>
    </w:p>
    <w:p>
      <w:pPr>
        <w:pStyle w:val="FirstParagraph"/>
      </w:pPr>
      <w:r>
        <w:t xml:space="preserve">The legal landscape is constantly evolving, and this Peer Review Report assesses the Lawyer's commitment to continuing professional development (CPD). The Lawyer is expected to stay updated on changes in law, practice, and procedure, as well as to develop skills in areas such as digital literacy and diversity and inclusion.</w:t>
      </w:r>
    </w:p>
    <w:p>
      <w:pPr>
        <w:pStyle w:val="BodyText"/>
      </w:pPr>
      <w:r>
        <w:t xml:space="preserve">The review confirms that the Lawyer actively participates in CPD activities, including seminars, workshops, and online courses. This commitment to learning ensures that the Lawyer remains competent and effective in their practice. Additionally, the Lawyer's engagement with local legal networks in United Kingdom Birmingham facilitates the exchange of knowledge and best practices, further enhancing the quality of their work.</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Lawyer meets the high standards expected of legal professionals practising in United Kingdom Birmingham. The Lawyer demonstrates strong technical competence, ethical integrity, and a client-focused approach. The review highlights the Lawyer's ability to navigate the complexities of the local legal environment while maintaining compliance with regulatory requirements.</w:t>
      </w:r>
    </w:p>
    <w:p>
      <w:pPr>
        <w:pStyle w:val="BodyText"/>
      </w:pPr>
      <w:r>
        <w:t xml:space="preserve">Recommendations for further improvement include enhancing the use of technology to streamline administrative tasks and expanding CPD activities to include emerging areas of law. By addressing these areas, the Lawyer can continue to provide exceptional legal services and contribute positively to the legal community in United Kingdom Birmingham.</w:t>
      </w:r>
    </w:p>
    <w:bookmarkEnd w:id="27"/>
    <w:p>
      <w:pPr>
        <w:pStyle w:val="BodyText"/>
      </w:pPr>
      <w:r>
        <w:rPr>
          <w:bCs/>
          <w:b/>
        </w:rPr>
        <w:t xml:space="preserve">Disclaimer:</w:t>
      </w:r>
      <w:r>
        <w:t xml:space="preserve"> </w:t>
      </w:r>
      <w:r>
        <w:t xml:space="preserve">This Peer Review Report is intended for internal use and professional development purposes. It does not constitute legal advice or a guarantee of future performance. The findings are based on the information available at the time of the review.</w:t>
      </w:r>
    </w:p>
    <w:p>
      <w:pPr>
        <w:pStyle w:val="BodyText"/>
      </w:pPr>
      <w:r>
        <w:t xml:space="preserve">© 2023 Independent Legal Practice Assessment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United Kingdom Birmingham</dc:title>
  <dc:creator/>
  <dc:language>en</dc:language>
  <cp:keywords/>
  <dcterms:created xsi:type="dcterms:W3CDTF">2026-10-10T08:14:05Z</dcterms:created>
  <dcterms:modified xsi:type="dcterms:W3CDTF">2026-10-10T08:14:05Z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