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Legal</w:t>
      </w:r>
      <w:r>
        <w:t xml:space="preserve"> </w:t>
      </w:r>
      <w:r>
        <w:t xml:space="preserve">Services</w:t>
      </w:r>
    </w:p>
    <w:bookmarkStart w:id="20" w:name="peer-review-report"/>
    <w:p>
      <w:pPr>
        <w:pStyle w:val="Heading1"/>
      </w:pPr>
      <w:r>
        <w:t xml:space="preserve">Peer Review Report</w:t>
      </w:r>
    </w:p>
    <w:p>
      <w:pPr>
        <w:pStyle w:val="FirstParagraph"/>
      </w:pPr>
      <w:r>
        <w:t xml:space="preserve">Independent Assessment of Professional Competence and Practice Management</w:t>
      </w:r>
    </w:p>
    <w:p>
      <w:pPr>
        <w:pStyle w:val="BodyText"/>
      </w:pPr>
      <w:r>
        <w:rPr>
          <w:bCs/>
          <w:b/>
        </w:rPr>
        <w:t xml:space="preserve">Date of Report:</w:t>
      </w:r>
      <w:r>
        <w:t xml:space="preserve"> </w:t>
      </w:r>
      <w:r>
        <w:t xml:space="preserve">24 October 2023</w:t>
      </w:r>
    </w:p>
    <w:p>
      <w:pPr>
        <w:pStyle w:val="BodyText"/>
      </w:pPr>
      <w:r>
        <w:rPr>
          <w:bCs/>
          <w:b/>
        </w:rPr>
        <w:t xml:space="preserve">Reference No:</w:t>
      </w:r>
      <w:r>
        <w:t xml:space="preserve"> </w:t>
      </w:r>
      <w:r>
        <w:t xml:space="preserve">PRR-LON-2023-894</w:t>
      </w:r>
    </w:p>
    <w:p>
      <w:pPr>
        <w:pStyle w:val="BodyText"/>
      </w:pPr>
      <w:r>
        <w:rPr>
          <w:bCs/>
          <w:b/>
        </w:rPr>
        <w:t xml:space="preserve">Subject:</w:t>
      </w:r>
      <w:r>
        <w:t xml:space="preserve"> </w:t>
      </w:r>
      <w:r>
        <w:t xml:space="preserve">[Name of Lawyer/Practice]</w:t>
      </w:r>
    </w:p>
    <w:p>
      <w:pPr>
        <w:pStyle w:val="BodyText"/>
      </w:pPr>
      <w:r>
        <w:rPr>
          <w:bCs/>
          <w:b/>
        </w:rPr>
        <w:t xml:space="preserve">Location:</w:t>
      </w:r>
      <w:r>
        <w:t xml:space="preserve"> </w:t>
      </w:r>
      <w:r>
        <w:t xml:space="preserve">United Kingdom London</w:t>
      </w:r>
    </w:p>
    <w:p>
      <w:pPr>
        <w:pStyle w:val="BodyText"/>
      </w:pPr>
      <w:r>
        <w:rPr>
          <w:bCs/>
          <w:b/>
        </w:rPr>
        <w:t xml:space="preserve">Reviewer:</w:t>
      </w:r>
      <w:r>
        <w:t xml:space="preserve"> </w:t>
      </w:r>
      <w:r>
        <w:t xml:space="preserve">Senior Partner, [Review Firm Name]</w:t>
      </w:r>
    </w:p>
    <w:p>
      <w:pPr>
        <w:pStyle w:val="BodyText"/>
      </w:pPr>
      <w:r>
        <w:rPr>
          <w:bCs/>
          <w:b/>
        </w:rPr>
        <w:t xml:space="preserve">Regulatory Body:</w:t>
      </w:r>
      <w:r>
        <w:t xml:space="preserve"> </w:t>
      </w:r>
      <w:r>
        <w:t xml:space="preserve">Solicitors Regulation Authority (SRA)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legal acumen, and operational efficiency of the subject Lawyer practising within the jurisdiction of United Kingdom London. The review was conducted in accordance with the guidelines set forth by the Solicitors Regulation Authority (SRA) and the Law Society of England and Wales. The primary objective of this assessment is to ensure that the Lawyer maintains the highest standards of client care, legal accuracy, and ethical conduct expected within the competitive and rigorous legal landscape of London.</w:t>
      </w:r>
    </w:p>
    <w:p>
      <w:pPr>
        <w:pStyle w:val="BodyText"/>
      </w:pPr>
      <w:r>
        <w:t xml:space="preserve">The review covers a twelve-month period of practice, focusing on case file management, regulatory compliance, and the quality of legal advice provided. Overall, the Lawyer demonstrates a robust understanding of English law and exhibits a high level of dedication to their clients. However, specific areas regarding administrative documentation and risk management protocols require attention to align fully with the best practices observed in top-tier London firms.</w:t>
      </w:r>
    </w:p>
    <w:bookmarkEnd w:id="21"/>
    <w:bookmarkStart w:id="22" w:name="scope-and-methodology"/>
    <w:p>
      <w:pPr>
        <w:pStyle w:val="Heading2"/>
      </w:pPr>
      <w:r>
        <w:t xml:space="preserve">2. Scope and Methodology</w:t>
      </w:r>
    </w:p>
    <w:p>
      <w:pPr>
        <w:pStyle w:val="FirstParagraph"/>
      </w:pPr>
      <w:r>
        <w:t xml:space="preserve">The methodology employed for this Peer Review Report involved a comprehensive audit of twenty (20) randomly selected case files spanning various practice areas, including Commercial Litigation, Property Law, and Family Law. The review process included:</w:t>
      </w:r>
    </w:p>
    <w:p>
      <w:pPr>
        <w:numPr>
          <w:ilvl w:val="0"/>
          <w:numId w:val="1001"/>
        </w:numPr>
        <w:pStyle w:val="Compact"/>
      </w:pPr>
      <w:r>
        <w:t xml:space="preserve">Examination of client engagement letters and conflict of interest checks.</w:t>
      </w:r>
    </w:p>
    <w:p>
      <w:pPr>
        <w:numPr>
          <w:ilvl w:val="0"/>
          <w:numId w:val="1001"/>
        </w:numPr>
        <w:pStyle w:val="Compact"/>
      </w:pPr>
      <w:r>
        <w:t xml:space="preserve">Assessment of legal research and drafting quality.</w:t>
      </w:r>
    </w:p>
    <w:p>
      <w:pPr>
        <w:numPr>
          <w:ilvl w:val="0"/>
          <w:numId w:val="1001"/>
        </w:numPr>
        <w:pStyle w:val="Compact"/>
      </w:pPr>
      <w:r>
        <w:t xml:space="preserve">Verification of compliance with the SRA Code of Conduct for Solicitors.</w:t>
      </w:r>
    </w:p>
    <w:p>
      <w:pPr>
        <w:numPr>
          <w:ilvl w:val="0"/>
          <w:numId w:val="1001"/>
        </w:numPr>
        <w:pStyle w:val="Compact"/>
      </w:pPr>
      <w:r>
        <w:t xml:space="preserve">Interviews with the Lawyer regarding their approach to case strategy and client communication.</w:t>
      </w:r>
    </w:p>
    <w:p>
      <w:pPr>
        <w:numPr>
          <w:ilvl w:val="0"/>
          <w:numId w:val="1001"/>
        </w:numPr>
        <w:pStyle w:val="Compact"/>
      </w:pPr>
      <w:r>
        <w:t xml:space="preserve">Review of file closure procedures and billing accuracy.</w:t>
      </w:r>
    </w:p>
    <w:p>
      <w:pPr>
        <w:pStyle w:val="FirstParagraph"/>
      </w:pPr>
      <w:r>
        <w:t xml:space="preserve">This process ensures a holistic view of the Lawyer's performance within the context of United Kingdom London legal standards.</w:t>
      </w:r>
    </w:p>
    <w:bookmarkEnd w:id="22"/>
    <w:bookmarkStart w:id="25" w:name="assessment-of-legal-competence"/>
    <w:p>
      <w:pPr>
        <w:pStyle w:val="Heading2"/>
      </w:pPr>
      <w:r>
        <w:t xml:space="preserve">3. Assessment of Legal Competence</w:t>
      </w:r>
    </w:p>
    <w:bookmarkStart w:id="23" w:name="quality-of-legal-advice"/>
    <w:p>
      <w:pPr>
        <w:pStyle w:val="Heading3"/>
      </w:pPr>
      <w:r>
        <w:t xml:space="preserve">3.1 Quality of Legal Advice</w:t>
      </w:r>
    </w:p>
    <w:p>
      <w:pPr>
        <w:pStyle w:val="FirstParagraph"/>
      </w:pPr>
      <w:r>
        <w:t xml:space="preserve">The Lawyer exhibits a strong command of substantive law. The legal advice provided in the reviewed files is accurate, well-reasoned, and tailored to the specific circumstances of the clients. In matters of Commercial Litigation, the Lawyer demonstrated an impressive ability to navigate complex contractual disputes, citing relevant case law from the High Court of Justice in London effectively. The advice is pragmatic, balancing legal theory with commercial reality, which is a critical skill for a Lawyer operating in the financial capital of the United Kingdom.</w:t>
      </w:r>
    </w:p>
    <w:bookmarkEnd w:id="23"/>
    <w:bookmarkStart w:id="24" w:name="drafting-and-documentation"/>
    <w:p>
      <w:pPr>
        <w:pStyle w:val="Heading3"/>
      </w:pPr>
      <w:r>
        <w:t xml:space="preserve">3.2 Drafting and Documentation</w:t>
      </w:r>
    </w:p>
    <w:p>
      <w:pPr>
        <w:pStyle w:val="FirstParagraph"/>
      </w:pPr>
      <w:r>
        <w:t xml:space="preserve">Drafting skills are generally of a high standard. Correspondence is clear, concise, and professional. However, in two instances, the drafting of settlement agreements lacked sufficient detail regarding post-settlement obligations, which could have exposed the client to future liability. While the core legal arguments were sound, the precision required in London's high-stakes environment demands meticulous attention to detail in all contractual documentation.</w:t>
      </w:r>
    </w:p>
    <w:bookmarkEnd w:id="24"/>
    <w:bookmarkEnd w:id="25"/>
    <w:bookmarkStart w:id="26" w:name="client-care-and-communication"/>
    <w:p>
      <w:pPr>
        <w:pStyle w:val="Heading2"/>
      </w:pPr>
      <w:r>
        <w:t xml:space="preserve">4. Client Care and Communication</w:t>
      </w:r>
    </w:p>
    <w:p>
      <w:pPr>
        <w:pStyle w:val="FirstParagraph"/>
      </w:pPr>
      <w:r>
        <w:t xml:space="preserve">Client care is a cornerstone of the SRA Principles, and this Lawyer generally performs well in this regard. Files indicate that clients are kept informed of case progress, and instructions are sought promptly when necessary. The Lawyer demonstrates empathy and professionalism, particularly in sensitive Family Law matters.</w:t>
      </w:r>
    </w:p>
    <w:p>
      <w:pPr>
        <w:pStyle w:val="BodyText"/>
      </w:pPr>
      <w:r>
        <w:t xml:space="preserve">However, the review identified occasional delays in responding to client inquiries, with some responses taking longer than the industry standard of 48 hours. In the fast-paced environment of United Kingdom London, where clients often expect immediate responsiveness, improving turnaround times for non-urgent communications would significantly enhance client satisfaction and retention.</w:t>
      </w:r>
    </w:p>
    <w:bookmarkEnd w:id="26"/>
    <w:bookmarkStart w:id="29" w:name="X101ecc4296dd6393e0a669a519e77b87c8106e0"/>
    <w:p>
      <w:pPr>
        <w:pStyle w:val="Heading2"/>
      </w:pPr>
      <w:r>
        <w:t xml:space="preserve">5. Regulatory Compliance and Risk Management</w:t>
      </w:r>
    </w:p>
    <w:bookmarkStart w:id="27" w:name="anti-money-laundering-aml"/>
    <w:p>
      <w:pPr>
        <w:pStyle w:val="Heading3"/>
      </w:pPr>
      <w:r>
        <w:t xml:space="preserve">5.1 Anti-Money Laundering (AML)</w:t>
      </w:r>
    </w:p>
    <w:p>
      <w:pPr>
        <w:pStyle w:val="FirstParagraph"/>
      </w:pPr>
      <w:r>
        <w:t xml:space="preserve">Compliance with the Money Laundering, Terrorist Financing and Transfer of Funds (Information on the Payer) Regulations 2017 is satisfactory. Customer Due Diligence (CDD) checks are present in the majority of files. However, the Peer Review Report notes that in one property transaction file, the source of funds documentation was not updated when the transaction value increased significantly. This is a critical oversight that must be rectified to ensure full compliance with UK financial regulations.</w:t>
      </w:r>
    </w:p>
    <w:bookmarkEnd w:id="27"/>
    <w:bookmarkStart w:id="28" w:name="conflict-of-interest"/>
    <w:p>
      <w:pPr>
        <w:pStyle w:val="Heading3"/>
      </w:pPr>
      <w:r>
        <w:t xml:space="preserve">5.2 Conflict of Interest</w:t>
      </w:r>
    </w:p>
    <w:p>
      <w:pPr>
        <w:pStyle w:val="FirstParagraph"/>
      </w:pPr>
      <w:r>
        <w:t xml:space="preserve">Conflict checks are conducted diligently at the outset of every matter. The Lawyer maintains an up-to-date register of clients and former clients, ensuring that no conflicts arise during the course of representation. This is a strong point of the practice and reflects a mature approach to risk management.</w:t>
      </w:r>
    </w:p>
    <w:bookmarkEnd w:id="28"/>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assist the Lawyer in maintaining and improving their practice standards in United Kingdom London:</w:t>
      </w:r>
    </w:p>
    <w:p>
      <w:pPr>
        <w:numPr>
          <w:ilvl w:val="0"/>
          <w:numId w:val="1002"/>
        </w:numPr>
        <w:pStyle w:val="Compact"/>
      </w:pPr>
      <w:r>
        <w:rPr>
          <w:bCs/>
          <w:b/>
        </w:rPr>
        <w:t xml:space="preserve">Enhance Drafting Protocols:</w:t>
      </w:r>
      <w:r>
        <w:t xml:space="preserve"> </w:t>
      </w:r>
      <w:r>
        <w:t xml:space="preserve">Implement a peer-check system for all settlement agreements and complex contracts to ensure all post-transaction obligations are explicitly defined.</w:t>
      </w:r>
    </w:p>
    <w:p>
      <w:pPr>
        <w:numPr>
          <w:ilvl w:val="0"/>
          <w:numId w:val="1002"/>
        </w:numPr>
        <w:pStyle w:val="Compact"/>
      </w:pPr>
      <w:r>
        <w:rPr>
          <w:bCs/>
          <w:b/>
        </w:rPr>
        <w:t xml:space="preserve">Improve Response Times:</w:t>
      </w:r>
      <w:r>
        <w:t xml:space="preserve"> </w:t>
      </w:r>
      <w:r>
        <w:t xml:space="preserve">Establish a strict internal policy to respond to all client communications within 48 hours, utilizing case management software to track pending replies.</w:t>
      </w:r>
    </w:p>
    <w:p>
      <w:pPr>
        <w:numPr>
          <w:ilvl w:val="0"/>
          <w:numId w:val="1002"/>
        </w:numPr>
        <w:pStyle w:val="Compact"/>
      </w:pPr>
      <w:r>
        <w:rPr>
          <w:bCs/>
          <w:b/>
        </w:rPr>
        <w:t xml:space="preserve">Strengthen AML Procedures:</w:t>
      </w:r>
      <w:r>
        <w:t xml:space="preserve"> </w:t>
      </w:r>
      <w:r>
        <w:t xml:space="preserve">Conduct refresher training on Anti-Money Laundering regulations, specifically focusing on the requirement to update due diligence when transaction parameters change.</w:t>
      </w:r>
    </w:p>
    <w:p>
      <w:pPr>
        <w:numPr>
          <w:ilvl w:val="0"/>
          <w:numId w:val="1002"/>
        </w:numPr>
        <w:pStyle w:val="Compact"/>
      </w:pPr>
      <w:r>
        <w:rPr>
          <w:bCs/>
          <w:b/>
        </w:rPr>
        <w:t xml:space="preserve">File Organization:</w:t>
      </w:r>
      <w:r>
        <w:t xml:space="preserve"> </w:t>
      </w:r>
      <w:r>
        <w:t xml:space="preserve">Adopt a more standardized file indexing system to ensure that all regulatory documents are easily retrievable during future audits or inspections.</w:t>
      </w:r>
    </w:p>
    <w:bookmarkEnd w:id="30"/>
    <w:bookmarkStart w:id="31" w:name="conclusion"/>
    <w:p>
      <w:pPr>
        <w:pStyle w:val="Heading2"/>
      </w:pPr>
      <w:r>
        <w:t xml:space="preserve">7. Conclusion</w:t>
      </w:r>
    </w:p>
    <w:p>
      <w:pPr>
        <w:pStyle w:val="FirstParagraph"/>
      </w:pPr>
      <w:r>
        <w:t xml:space="preserve">In conclusion, this Peer Review Report confirms that the Lawyer is a competent and ethical practitioner who provides a high standard of service to their clients. The practice is fundamentally sound and compliant with the majority of SRA regulations. By addressing the minor deficiencies identified regarding drafting precision, response times, and specific AML updates, the Lawyer will be well-positioned to compete effectively within the prestigious legal market of United Kingdom London. The review concludes with a rating of "Satisfactory with Recommendations."</w:t>
      </w:r>
    </w:p>
    <w:bookmarkEnd w:id="31"/>
    <w:p>
      <w:pPr>
        <w:pStyle w:val="BodyText"/>
      </w:pPr>
      <w:r>
        <w:rPr>
          <w:bCs/>
          <w:b/>
        </w:rPr>
        <w:t xml:space="preserve">Reviewed By:</w:t>
      </w:r>
      <w:r>
        <w:br/>
      </w:r>
      <w:r>
        <w:t xml:space="preserve">[Reviewer Name]</w:t>
      </w:r>
      <w:r>
        <w:br/>
      </w:r>
      <w:r>
        <w:t xml:space="preserve">Senior Partner</w:t>
      </w:r>
      <w:r>
        <w:br/>
      </w:r>
      <w:r>
        <w:t xml:space="preserve">[Review Firm Name]</w:t>
      </w:r>
    </w:p>
    <w:p>
      <w:pPr>
        <w:pStyle w:val="BodyText"/>
      </w:pPr>
      <w:r>
        <w:rPr>
          <w:bCs/>
          <w:b/>
        </w:rPr>
        <w:t xml:space="preserve">Received By:</w:t>
      </w:r>
      <w:r>
        <w:br/>
      </w:r>
      <w:r>
        <w:t xml:space="preserve">[Lawyer Name]</w:t>
      </w:r>
      <w:r>
        <w:br/>
      </w:r>
      <w:r>
        <w:t xml:space="preserve">[Law Firm Name]</w:t>
      </w:r>
      <w:r>
        <w:br/>
      </w:r>
      <w:r>
        <w:t xml:space="preserve">United Kingdom London</w:t>
      </w:r>
    </w:p>
    <w:p>
      <w:pPr>
        <w:pStyle w:val="BodyText"/>
      </w:pPr>
      <w:r>
        <w:t xml:space="preserve">This document is confidential and intended solely for the use of the addressee. It constitutes a formal Peer Review Report regarding the professional conduct of the subject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Legal Services</dc:title>
  <dc:creator/>
  <dc:language>en</dc:language>
  <cp:keywords/>
  <dcterms:created xsi:type="dcterms:W3CDTF">2026-10-10T05:55:09Z</dcterms:created>
  <dcterms:modified xsi:type="dcterms:W3CDTF">2026-10-10T05:55:09Z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