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8" w:name="X0b0a2398acc095b9201678b53da711d1467ddd5"/>
    <w:p>
      <w:pPr>
        <w:pStyle w:val="Heading1"/>
      </w:pPr>
      <w:r>
        <w:t xml:space="preserve">Peer Review Report: Solicitor Practice Assessment</w:t>
      </w:r>
    </w:p>
    <w:p>
      <w:pPr>
        <w:pStyle w:val="FirstParagraph"/>
      </w:pPr>
      <w:r>
        <w:rPr>
          <w:bCs/>
          <w:b/>
        </w:rPr>
        <w:t xml:space="preserve">Subject:</w:t>
      </w:r>
      <w:r>
        <w:t xml:space="preserve"> </w:t>
      </w:r>
      <w:r>
        <w:t xml:space="preserve">Professional Competence and Practice Management Review</w:t>
      </w:r>
      <w:r>
        <w:br/>
      </w:r>
      <w:r>
        <w:rPr>
          <w:bCs/>
          <w:b/>
        </w:rPr>
        <w:t xml:space="preserve">Role:</w:t>
      </w:r>
      <w:r>
        <w:t xml:space="preserve"> </w:t>
      </w:r>
      <w:r>
        <w:t xml:space="preserve">Lawyer (Solicitor of the Senior Courts of England and Wales)</w:t>
      </w:r>
      <w:r>
        <w:br/>
      </w:r>
      <w:r>
        <w:rPr>
          <w:bCs/>
          <w:b/>
        </w:rPr>
        <w:t xml:space="preserve">Location:</w:t>
      </w:r>
      <w:r>
        <w:t xml:space="preserve"> </w:t>
      </w:r>
      <w:r>
        <w:t xml:space="preserve">Manchester, United Kingdom</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Reference:</w:t>
      </w:r>
      <w:r>
        <w:t xml:space="preserve"> </w:t>
      </w:r>
      <w:r>
        <w:t xml:space="preserve">SRA Code of Conduct for Solicitors</w:t>
      </w:r>
    </w:p>
    <w:bookmarkStart w:id="20" w:name="executive-summary"/>
    <w:p>
      <w:pPr>
        <w:pStyle w:val="Heading2"/>
      </w:pPr>
      <w:r>
        <w:t xml:space="preserve">1. Executive Summary</w:t>
      </w:r>
    </w:p>
    <w:p>
      <w:pPr>
        <w:pStyle w:val="FirstParagraph"/>
      </w:pPr>
      <w:r>
        <w:t xml:space="preserve">This Peer Review Report has been commissioned to evaluate the professional standards, technical competence, and ethical compliance of the subject Lawyer operating within the jurisdiction of Manchester, United Kingdom. The review aligns with the requirements set forth by the Solicitors Regulation Authority (SRA) and aims to ensure that the legal services provided meet the rigorous standards expected in the North West of England. The assessment covers case management, client care, regulatory compliance, and the specific nuances of practicing law within the Manchester legal market.</w:t>
      </w:r>
    </w:p>
    <w:bookmarkEnd w:id="20"/>
    <w:bookmarkStart w:id="21" w:name="introduction-and-scope"/>
    <w:p>
      <w:pPr>
        <w:pStyle w:val="Heading2"/>
      </w:pPr>
      <w:r>
        <w:t xml:space="preserve">2. Introduction and Scope</w:t>
      </w:r>
    </w:p>
    <w:p>
      <w:pPr>
        <w:pStyle w:val="FirstParagraph"/>
      </w:pPr>
      <w:r>
        <w:t xml:space="preserve">The legal landscape in Manchester is dynamic, characterized by a robust mix of commercial litigation, property law, and family practice. As a Lawyer based in this region, the subject is expected to navigate not only the general laws of the United Kingdom but also the specific procedural expectations of the Manchester Civil Justice Centre and local county courts. This report assesses the Lawyer's ability to deliver high-quality legal advice while maintaining the integrity of the profession.</w:t>
      </w:r>
    </w:p>
    <w:p>
      <w:pPr>
        <w:pStyle w:val="BodyText"/>
      </w:pPr>
      <w:r>
        <w:t xml:space="preserve">The scope of this review includes an analysis of five randomly selected case files, a review of client feedback mechanisms, an audit of compliance with the SRA Principles, and an evaluation of the Lawyer's continuing professional development (CPD) records.</w:t>
      </w:r>
    </w:p>
    <w:bookmarkEnd w:id="21"/>
    <w:bookmarkStart w:id="22" w:name="technical-competence-and-legal-knowledge"/>
    <w:p>
      <w:pPr>
        <w:pStyle w:val="Heading2"/>
      </w:pPr>
      <w:r>
        <w:t xml:space="preserve">3. Technical Competence and Legal Knowledge</w:t>
      </w:r>
    </w:p>
    <w:p>
      <w:pPr>
        <w:pStyle w:val="FirstParagraph"/>
      </w:pPr>
      <w:r>
        <w:t xml:space="preserve">The core function of a Lawyer is the accurate application of law to fact. In the context of Manchester, this often involves dealing with complex property transactions in a high-volume market or navigating family law disputes within the local family court system.</w:t>
      </w:r>
    </w:p>
    <w:p>
      <w:pPr>
        <w:pStyle w:val="BodyText"/>
      </w:pPr>
      <w:r>
        <w:t xml:space="preserve">The review indicates that the Lawyer demonstrates a strong grasp of substantive law. In the sampled commercial files, the advice provided regarding contract law and dispute resolution was precise and up-to-date with recent case law from the Court of Appeal. Furthermore, the Lawyer shows a clear understanding of the Civil Procedure Rules (CPR), ensuring that all filings submitted to the Manchester courts were procedurally correct and timely.</w:t>
      </w:r>
    </w:p>
    <w:p>
      <w:pPr>
        <w:pStyle w:val="BodyText"/>
      </w:pPr>
      <w:r>
        <w:rPr>
          <w:bCs/>
          <w:b/>
        </w:rPr>
        <w:t xml:space="preserve">Observation:</w:t>
      </w:r>
      <w:r>
        <w:t xml:space="preserve"> </w:t>
      </w:r>
      <w:r>
        <w:t xml:space="preserve">The Lawyer effectively utilizes local legal resources, including the Manchester Law Society, to stay informed on regional practice directions, which enhances the quality of service provided to clients in the United Kingdom.</w:t>
      </w:r>
    </w:p>
    <w:bookmarkEnd w:id="22"/>
    <w:bookmarkStart w:id="23" w:name="client-care-and-communication"/>
    <w:p>
      <w:pPr>
        <w:pStyle w:val="Heading2"/>
      </w:pPr>
      <w:r>
        <w:t xml:space="preserve">4. Client Care and Communication</w:t>
      </w:r>
    </w:p>
    <w:p>
      <w:pPr>
        <w:pStyle w:val="FirstParagraph"/>
      </w:pPr>
      <w:r>
        <w:t xml:space="preserve">Effective communication is paramount for a Lawyer. The review examined how the subject interacts with clients, opposing counsel, and court officials. The findings suggest that the Lawyer maintains a professional and empathetic demeanor, which is particularly crucial in sensitive areas of law such as personal injury or family matters prevalent in the Manchester area.</w:t>
      </w:r>
    </w:p>
    <w:p>
      <w:pPr>
        <w:pStyle w:val="BodyText"/>
      </w:pPr>
      <w:r>
        <w:t xml:space="preserve">Client files reveal that the Lawyer provides clear, jargon-free explanations of legal options and risks. This aligns with the SRA Code of Conduct, which mandates that clients must be treated with courtesy and respect. The Lawyer ensures that clients in Manchester are fully informed about the likely outcomes of their cases, managing expectations realistically without over-promising results.</w:t>
      </w:r>
    </w:p>
    <w:bookmarkEnd w:id="23"/>
    <w:bookmarkStart w:id="24" w:name="practice-management-and-compliance"/>
    <w:p>
      <w:pPr>
        <w:pStyle w:val="Heading2"/>
      </w:pPr>
      <w:r>
        <w:t xml:space="preserve">5. Practice Management and Compliance</w:t>
      </w:r>
    </w:p>
    <w:p>
      <w:pPr>
        <w:pStyle w:val="FirstParagraph"/>
      </w:pPr>
      <w:r>
        <w:t xml:space="preserve">A critical aspect of this Peer Review Report is the assessment of practice management. The Lawyer is required to manage client money in accordance with the SRA Accounts Rules. The audit of the client ledger accounts shows no discrepancies, and the separation of client funds from office funds is strictly maintained.</w:t>
      </w:r>
    </w:p>
    <w:p>
      <w:pPr>
        <w:pStyle w:val="BodyText"/>
      </w:pPr>
      <w:r>
        <w:t xml:space="preserve">Furthermore, the Lawyer demonstrates robust compliance with Anti-Money Laundering (AML) regulations. Given the property market activity in Manchester, the risk of money laundering is a significant concern. The review confirms that the Lawyer conducts thorough due diligence on all new clients, verifying identities and sources of funds before proceeding with any transactions. This diligence protects the integrity of the legal profession in the United Kingdom.</w:t>
      </w:r>
    </w:p>
    <w:bookmarkEnd w:id="24"/>
    <w:bookmarkStart w:id="25" w:name="ethical-standards-and-professionalism"/>
    <w:p>
      <w:pPr>
        <w:pStyle w:val="Heading2"/>
      </w:pPr>
      <w:r>
        <w:t xml:space="preserve">6. Ethical Standards and Professionalism</w:t>
      </w:r>
    </w:p>
    <w:p>
      <w:pPr>
        <w:pStyle w:val="FirstParagraph"/>
      </w:pPr>
      <w:r>
        <w:t xml:space="preserve">The Lawyer is expected to uphold the reputation of the legal profession. Throughout the review period, there were no instances of misconduct or ethical breaches. The Lawyer consistently acts in the best interests of the client while maintaining independence and integrity.</w:t>
      </w:r>
    </w:p>
    <w:p>
      <w:pPr>
        <w:pStyle w:val="BodyText"/>
      </w:pPr>
      <w:r>
        <w:t xml:space="preserve">In interactions with the Manchester Civil Justice Centre, the Lawyer has been noted for their professionalism and adherence to court etiquette. This contributes to the efficient administration of justice and reflects positively on the firm and the wider legal community in the region.</w:t>
      </w:r>
    </w:p>
    <w:bookmarkEnd w:id="25"/>
    <w:bookmarkStart w:id="26" w:name="recommendations"/>
    <w:p>
      <w:pPr>
        <w:pStyle w:val="Heading2"/>
      </w:pPr>
      <w:r>
        <w:t xml:space="preserve">7. Recommendations</w:t>
      </w:r>
    </w:p>
    <w:p>
      <w:pPr>
        <w:pStyle w:val="FirstParagraph"/>
      </w:pPr>
      <w:r>
        <w:t xml:space="preserve">While the Lawyer performs at a high standard, this Peer Review Report offers the following recommendations for continued improvement:</w:t>
      </w:r>
    </w:p>
    <w:p>
      <w:pPr>
        <w:numPr>
          <w:ilvl w:val="0"/>
          <w:numId w:val="1001"/>
        </w:numPr>
        <w:pStyle w:val="Compact"/>
      </w:pPr>
      <w:r>
        <w:rPr>
          <w:bCs/>
          <w:b/>
        </w:rPr>
        <w:t xml:space="preserve">Enhanced Digital Security:</w:t>
      </w:r>
      <w:r>
        <w:t xml:space="preserve"> </w:t>
      </w:r>
      <w:r>
        <w:t xml:space="preserve">As legal practice becomes increasingly digital, the Lawyer should implement advanced cybersecurity measures to protect sensitive client data, in line with GDPR requirements across the United Kingdom.</w:t>
      </w:r>
    </w:p>
    <w:p>
      <w:pPr>
        <w:numPr>
          <w:ilvl w:val="0"/>
          <w:numId w:val="1001"/>
        </w:numPr>
        <w:pStyle w:val="Compact"/>
      </w:pPr>
      <w:r>
        <w:rPr>
          <w:bCs/>
          <w:b/>
        </w:rPr>
        <w:t xml:space="preserve">Specialized CPD:</w:t>
      </w:r>
      <w:r>
        <w:t xml:space="preserve"> </w:t>
      </w:r>
      <w:r>
        <w:t xml:space="preserve">It is recommended that the Lawyer engages in further Continuing Professional Development specifically focused on emerging trends in Manchester commercial law to maintain a competitive edge.</w:t>
      </w:r>
    </w:p>
    <w:p>
      <w:pPr>
        <w:numPr>
          <w:ilvl w:val="0"/>
          <w:numId w:val="1001"/>
        </w:numPr>
        <w:pStyle w:val="Compact"/>
      </w:pPr>
      <w:r>
        <w:rPr>
          <w:bCs/>
          <w:b/>
        </w:rPr>
        <w:t xml:space="preserve">Client Feedback Loop:</w:t>
      </w:r>
      <w:r>
        <w:t xml:space="preserve"> </w:t>
      </w:r>
      <w:r>
        <w:t xml:space="preserve">Implementing a more structured post-case feedback system could provide valuable insights into client satisfaction and areas for service enhancement.</w:t>
      </w:r>
    </w:p>
    <w:bookmarkEnd w:id="26"/>
    <w:bookmarkStart w:id="27" w:name="conclusion"/>
    <w:p>
      <w:pPr>
        <w:pStyle w:val="Heading2"/>
      </w:pPr>
      <w:r>
        <w:t xml:space="preserve">8. Conclusion</w:t>
      </w:r>
    </w:p>
    <w:p>
      <w:pPr>
        <w:pStyle w:val="FirstParagraph"/>
      </w:pPr>
      <w:r>
        <w:t xml:space="preserve">In conclusion, this Peer Review Report confirms that the Lawyer operates in full compliance with the regulatory standards of the Solicitors Regulation Authority. The subject demonstrates the technical skill, ethical fortitude, and professional diligence required of a Lawyer in Manchester, United Kingdom. The practice is well-managed, compliant, and client-focused. With the implementation of the minor recommendations outlined above, the Lawyer is well-positioned to continue providing exemplary legal services to the community.</w:t>
      </w:r>
    </w:p>
    <w:p>
      <w:pPr>
        <w:pStyle w:val="BodyText"/>
      </w:pPr>
      <w:r>
        <w:rPr>
          <w:bCs/>
          <w:b/>
        </w:rPr>
        <w:t xml:space="preserve">Report Prepared By:</w:t>
      </w:r>
      <w:r>
        <w:br/>
      </w:r>
      <w:r>
        <w:t xml:space="preserve">Senior Peer Reviewer</w:t>
      </w:r>
      <w:r>
        <w:br/>
      </w:r>
      <w:r>
        <w:t xml:space="preserve">Legal Standards Committee</w:t>
      </w:r>
      <w:r>
        <w:br/>
      </w:r>
      <w:r>
        <w:t xml:space="preserve">Manchester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Manchester, United Kingdom</dc:title>
  <dc:creator/>
  <dc:language>en</dc:language>
  <cp:keywords/>
  <dcterms:created xsi:type="dcterms:W3CDTF">2026-10-10T07:43:27Z</dcterms:created>
  <dcterms:modified xsi:type="dcterms:W3CDTF">2026-10-10T07:43:27Z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