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Professional</w:t>
      </w:r>
      <w:r>
        <w:t xml:space="preserve"> </w:t>
      </w:r>
      <w:r>
        <w:t xml:space="preserve">Evaluation</w:t>
      </w:r>
    </w:p>
    <w:bookmarkStart w:id="20" w:name="peer-review-report"/>
    <w:p>
      <w:pPr>
        <w:pStyle w:val="Heading1"/>
      </w:pPr>
      <w:r>
        <w:t xml:space="preserve">Peer Review Report</w:t>
      </w:r>
    </w:p>
    <w:p>
      <w:pPr>
        <w:pStyle w:val="FirstParagraph"/>
      </w:pPr>
      <w:r>
        <w:t xml:space="preserve">Subject:</w:t>
      </w:r>
      <w:r>
        <w:t xml:space="preserve"> </w:t>
      </w:r>
      <w:r>
        <w:t xml:space="preserve">Attorney Performance Evaluation</w:t>
      </w:r>
    </w:p>
    <w:p>
      <w:pPr>
        <w:pStyle w:val="BodyText"/>
      </w:pPr>
      <w:r>
        <w:t xml:space="preserve">Jurisdiction:</w:t>
      </w:r>
      <w:r>
        <w:t xml:space="preserve"> </w:t>
      </w:r>
      <w:r>
        <w:t xml:space="preserve">United States Miami, Florida</w:t>
      </w:r>
    </w:p>
    <w:p>
      <w:pPr>
        <w:pStyle w:val="BodyText"/>
      </w:pPr>
      <w:r>
        <w:t xml:space="preserve">Date:</w:t>
      </w:r>
      <w:r>
        <w:t xml:space="preserve"> </w:t>
      </w:r>
      <w:r>
        <w:t xml:space="preserve">October 24, 2023</w:t>
      </w:r>
    </w:p>
    <w:p>
      <w:pPr>
        <w:pStyle w:val="BodyText"/>
      </w:pPr>
      <w:r>
        <w:t xml:space="preserve">Report ID:</w:t>
      </w:r>
      <w:r>
        <w:t xml:space="preserve"> </w:t>
      </w:r>
      <w:r>
        <w:t xml:space="preserve">MIA-PR-2023-894</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professional competence, ethical standing, and litigation efficacy of a practicing</w:t>
      </w:r>
      <w:r>
        <w:t xml:space="preserve"> </w:t>
      </w:r>
      <w:r>
        <w:rPr>
          <w:bCs/>
          <w:b/>
        </w:rPr>
        <w:t xml:space="preserve">Lawyer</w:t>
      </w:r>
      <w:r>
        <w:t xml:space="preserve"> </w:t>
      </w:r>
      <w:r>
        <w:t xml:space="preserve">operating within the jurisdiction of</w:t>
      </w:r>
      <w:r>
        <w:t xml:space="preserve"> </w:t>
      </w:r>
      <w:r>
        <w:rPr>
          <w:bCs/>
          <w:b/>
        </w:rPr>
        <w:t xml:space="preserve">United States Miami</w:t>
      </w:r>
      <w:r>
        <w:t xml:space="preserve">. The review process involved a comprehensive analysis of case files, client testimonials, courtroom observations, and consultations with fellow legal professionals in the Miami-Dade County area. The objective is to provide an objective assessment of the attorney's ability to navigate the complex legal landscape of South Florida, ensuring adherence to the Rules Regulating The Florida Bar and maintaining the highest standards of legal advocacy.</w:t>
      </w:r>
    </w:p>
    <w:p>
      <w:pPr>
        <w:pStyle w:val="BodyText"/>
      </w:pPr>
      <w:r>
        <w:t xml:space="preserve">The findings indicate that the subject</w:t>
      </w:r>
      <w:r>
        <w:t xml:space="preserve"> </w:t>
      </w:r>
      <w:r>
        <w:rPr>
          <w:bCs/>
          <w:b/>
        </w:rPr>
        <w:t xml:space="preserve">Lawyer</w:t>
      </w:r>
      <w:r>
        <w:t xml:space="preserve"> </w:t>
      </w:r>
      <w:r>
        <w:t xml:space="preserve">demonstrates a robust understanding of local statutes and federal laws applicable in</w:t>
      </w:r>
      <w:r>
        <w:t xml:space="preserve"> </w:t>
      </w:r>
      <w:r>
        <w:rPr>
          <w:bCs/>
          <w:b/>
        </w:rPr>
        <w:t xml:space="preserve">United States Miami</w:t>
      </w:r>
      <w:r>
        <w:t xml:space="preserve">. The attorney exhibits strong procedural knowledge, particularly in civil litigation and real estate law, which are prevalent practice areas in this region. This report details specific observations regarding legal research, client communication, and courtroom demeanor.</w:t>
      </w:r>
    </w:p>
    <w:bookmarkEnd w:id="21"/>
    <w:bookmarkStart w:id="22" w:name="scope-of-evaluation"/>
    <w:p>
      <w:pPr>
        <w:pStyle w:val="Heading2"/>
      </w:pPr>
      <w:r>
        <w:t xml:space="preserve">2. Scope of Evaluation</w:t>
      </w:r>
    </w:p>
    <w:p>
      <w:pPr>
        <w:pStyle w:val="FirstParagraph"/>
      </w:pPr>
      <w:r>
        <w:t xml:space="preserve">The scope of this</w:t>
      </w:r>
      <w:r>
        <w:t xml:space="preserve"> </w:t>
      </w:r>
      <w:r>
        <w:rPr>
          <w:bCs/>
          <w:b/>
        </w:rPr>
        <w:t xml:space="preserve">Peer Review Report</w:t>
      </w:r>
      <w:r>
        <w:t xml:space="preserve"> </w:t>
      </w:r>
      <w:r>
        <w:t xml:space="preserve">encompasses the following critical areas of legal practice relevant to a</w:t>
      </w:r>
      <w:r>
        <w:t xml:space="preserve"> </w:t>
      </w:r>
      <w:r>
        <w:rPr>
          <w:bCs/>
          <w:b/>
        </w:rPr>
        <w:t xml:space="preserve">Lawyer</w:t>
      </w:r>
      <w:r>
        <w:t xml:space="preserve"> </w:t>
      </w:r>
      <w:r>
        <w:t xml:space="preserve">in</w:t>
      </w:r>
      <w:r>
        <w:t xml:space="preserve"> </w:t>
      </w:r>
      <w:r>
        <w:rPr>
          <w:bCs/>
          <w:b/>
        </w:rPr>
        <w:t xml:space="preserve">United States Miami</w:t>
      </w:r>
      <w:r>
        <w:t xml:space="preserve">:</w:t>
      </w:r>
    </w:p>
    <w:p>
      <w:pPr>
        <w:numPr>
          <w:ilvl w:val="0"/>
          <w:numId w:val="1001"/>
        </w:numPr>
        <w:pStyle w:val="Compact"/>
      </w:pPr>
      <w:r>
        <w:rPr>
          <w:bCs/>
          <w:b/>
        </w:rPr>
        <w:t xml:space="preserve">Legal Knowledge and Analytical Ability:</w:t>
      </w:r>
      <w:r>
        <w:t xml:space="preserve"> </w:t>
      </w:r>
      <w:r>
        <w:t xml:space="preserve">Assessment of the attorney's grasp of Florida state law, federal regulations, and local court rules specific to Miami-Dade County.</w:t>
      </w:r>
    </w:p>
    <w:p>
      <w:pPr>
        <w:numPr>
          <w:ilvl w:val="0"/>
          <w:numId w:val="1001"/>
        </w:numPr>
        <w:pStyle w:val="Compact"/>
      </w:pPr>
      <w:r>
        <w:rPr>
          <w:bCs/>
          <w:b/>
        </w:rPr>
        <w:t xml:space="preserve">Practical Skills:</w:t>
      </w:r>
      <w:r>
        <w:t xml:space="preserve"> </w:t>
      </w:r>
      <w:r>
        <w:t xml:space="preserve">Evaluation of drafting, negotiation, and trial advocacy skills.</w:t>
      </w:r>
    </w:p>
    <w:p>
      <w:pPr>
        <w:numPr>
          <w:ilvl w:val="0"/>
          <w:numId w:val="1001"/>
        </w:numPr>
        <w:pStyle w:val="Compact"/>
      </w:pPr>
      <w:r>
        <w:rPr>
          <w:bCs/>
          <w:b/>
        </w:rPr>
        <w:t xml:space="preserve">Professionalism and Ethics:</w:t>
      </w:r>
      <w:r>
        <w:t xml:space="preserve"> </w:t>
      </w:r>
      <w:r>
        <w:t xml:space="preserve">Review of conduct towards opposing counsel, the court, and clients, ensuring compliance with the Florida Rules of Professional Conduct.</w:t>
      </w:r>
    </w:p>
    <w:p>
      <w:pPr>
        <w:numPr>
          <w:ilvl w:val="0"/>
          <w:numId w:val="1001"/>
        </w:numPr>
        <w:pStyle w:val="Compact"/>
      </w:pPr>
      <w:r>
        <w:rPr>
          <w:bCs/>
          <w:b/>
        </w:rPr>
        <w:t xml:space="preserve">Client Relations:</w:t>
      </w:r>
      <w:r>
        <w:t xml:space="preserve"> </w:t>
      </w:r>
      <w:r>
        <w:t xml:space="preserve">Analysis of communication effectiveness and responsiveness to client needs.</w:t>
      </w:r>
    </w:p>
    <w:bookmarkEnd w:id="22"/>
    <w:bookmarkStart w:id="27" w:name="detailed-assessment"/>
    <w:p>
      <w:pPr>
        <w:pStyle w:val="Heading2"/>
      </w:pPr>
      <w:r>
        <w:t xml:space="preserve">3. Detailed Assessment</w:t>
      </w:r>
    </w:p>
    <w:bookmarkStart w:id="23" w:name="legal-knowledge-and-local-expertise"/>
    <w:p>
      <w:pPr>
        <w:pStyle w:val="Heading3"/>
      </w:pPr>
      <w:r>
        <w:t xml:space="preserve">3.1 Legal Knowledge and Local Expertise</w:t>
      </w:r>
    </w:p>
    <w:p>
      <w:pPr>
        <w:pStyle w:val="FirstParagraph"/>
      </w:pPr>
      <w:r>
        <w:t xml:space="preserve">A defining characteristic of a successful</w:t>
      </w:r>
      <w:r>
        <w:t xml:space="preserve"> </w:t>
      </w:r>
      <w:r>
        <w:rPr>
          <w:bCs/>
          <w:b/>
        </w:rPr>
        <w:t xml:space="preserve">Lawyer</w:t>
      </w:r>
      <w:r>
        <w:t xml:space="preserve"> </w:t>
      </w:r>
      <w:r>
        <w:t xml:space="preserve">in</w:t>
      </w:r>
      <w:r>
        <w:t xml:space="preserve"> </w:t>
      </w:r>
      <w:r>
        <w:rPr>
          <w:bCs/>
          <w:b/>
        </w:rPr>
        <w:t xml:space="preserve">United States Miami</w:t>
      </w:r>
      <w:r>
        <w:t xml:space="preserve"> </w:t>
      </w:r>
      <w:r>
        <w:t xml:space="preserve">is the ability to navigate a multicultural and multilingual legal environment. The subject demonstrates exceptional proficiency in this regard. The review highlights the attorney's deep familiarity with the Miami-Dade Circuit Court procedures. The</w:t>
      </w:r>
      <w:r>
        <w:t xml:space="preserve"> </w:t>
      </w:r>
      <w:r>
        <w:rPr>
          <w:bCs/>
          <w:b/>
        </w:rPr>
        <w:t xml:space="preserve">Lawyer</w:t>
      </w:r>
      <w:r>
        <w:t xml:space="preserve"> </w:t>
      </w:r>
      <w:r>
        <w:t xml:space="preserve">effectively utilizes local resources and understands the nuances of judicial preferences among various judges in the district.</w:t>
      </w:r>
    </w:p>
    <w:p>
      <w:pPr>
        <w:pStyle w:val="BodyText"/>
      </w:pPr>
      <w:r>
        <w:t xml:space="preserve">Furthermore, the attorney's handling of cases involving international elements—common in</w:t>
      </w:r>
      <w:r>
        <w:t xml:space="preserve"> </w:t>
      </w:r>
      <w:r>
        <w:rPr>
          <w:bCs/>
          <w:b/>
        </w:rPr>
        <w:t xml:space="preserve">United States Miami</w:t>
      </w:r>
      <w:r>
        <w:t xml:space="preserve"> </w:t>
      </w:r>
      <w:r>
        <w:t xml:space="preserve">due to its status as a global hub—shows a sophisticated understanding of cross-border legal issues. The legal research presented in reviewed case files was thorough, citing relevant Florida precedents and federal case law accurately.</w:t>
      </w:r>
    </w:p>
    <w:bookmarkEnd w:id="23"/>
    <w:bookmarkStart w:id="24" w:name="litigation-and-advocacy-skills"/>
    <w:p>
      <w:pPr>
        <w:pStyle w:val="Heading3"/>
      </w:pPr>
      <w:r>
        <w:t xml:space="preserve">3.2 Litigation and Advocacy Skills</w:t>
      </w:r>
    </w:p>
    <w:p>
      <w:pPr>
        <w:pStyle w:val="FirstParagraph"/>
      </w:pPr>
      <w:r>
        <w:t xml:space="preserve">Observations from courtroom proceedings reveal that the</w:t>
      </w:r>
      <w:r>
        <w:t xml:space="preserve"> </w:t>
      </w:r>
      <w:r>
        <w:rPr>
          <w:bCs/>
          <w:b/>
        </w:rPr>
        <w:t xml:space="preserve">Lawyer</w:t>
      </w:r>
      <w:r>
        <w:t xml:space="preserve"> </w:t>
      </w:r>
      <w:r>
        <w:t xml:space="preserve">possesses strong oral advocacy skills. The attorney presents arguments clearly, concisely, and persuasively. In the context of this</w:t>
      </w:r>
      <w:r>
        <w:t xml:space="preserve"> </w:t>
      </w:r>
      <w:r>
        <w:rPr>
          <w:bCs/>
          <w:b/>
        </w:rPr>
        <w:t xml:space="preserve">Peer Review Report</w:t>
      </w:r>
      <w:r>
        <w:t xml:space="preserve">, it is noted that the subject maintains composure under pressure and adapts quickly to unexpected developments during hearings.</w:t>
      </w:r>
    </w:p>
    <w:p>
      <w:pPr>
        <w:pStyle w:val="BodyText"/>
      </w:pPr>
      <w:r>
        <w:t xml:space="preserve">The drafting of legal documents, including motions, briefs, and contracts, meets the high standards expected in</w:t>
      </w:r>
      <w:r>
        <w:t xml:space="preserve"> </w:t>
      </w:r>
      <w:r>
        <w:rPr>
          <w:bCs/>
          <w:b/>
        </w:rPr>
        <w:t xml:space="preserve">United States Miami</w:t>
      </w:r>
      <w:r>
        <w:t xml:space="preserve">. The writing is precise, logically structured, and free of significant errors. The attorney's ability to anticipate opposing arguments and address them proactively is a significant strength.</w:t>
      </w:r>
    </w:p>
    <w:bookmarkEnd w:id="24"/>
    <w:bookmarkStart w:id="25" w:name="professionalism-and-ethical-conduct"/>
    <w:p>
      <w:pPr>
        <w:pStyle w:val="Heading3"/>
      </w:pPr>
      <w:r>
        <w:t xml:space="preserve">3.3 Professionalism and Ethical Conduct</w:t>
      </w:r>
    </w:p>
    <w:p>
      <w:pPr>
        <w:pStyle w:val="FirstParagraph"/>
      </w:pPr>
      <w:r>
        <w:t xml:space="preserve">Adherence to ethical standards is paramount for any</w:t>
      </w:r>
      <w:r>
        <w:t xml:space="preserve"> </w:t>
      </w:r>
      <w:r>
        <w:rPr>
          <w:bCs/>
          <w:b/>
        </w:rPr>
        <w:t xml:space="preserve">Lawyer</w:t>
      </w:r>
      <w:r>
        <w:t xml:space="preserve">. This</w:t>
      </w:r>
      <w:r>
        <w:t xml:space="preserve"> </w:t>
      </w:r>
      <w:r>
        <w:rPr>
          <w:bCs/>
          <w:b/>
        </w:rPr>
        <w:t xml:space="preserve">Peer Review Report</w:t>
      </w:r>
      <w:r>
        <w:t xml:space="preserve"> </w:t>
      </w:r>
      <w:r>
        <w:t xml:space="preserve">confirms that the subject maintains a high level of integrity. Feedback from opposing counsel and court personnel in</w:t>
      </w:r>
      <w:r>
        <w:t xml:space="preserve"> </w:t>
      </w:r>
      <w:r>
        <w:rPr>
          <w:bCs/>
          <w:b/>
        </w:rPr>
        <w:t xml:space="preserve">United States Miami</w:t>
      </w:r>
      <w:r>
        <w:t xml:space="preserve"> </w:t>
      </w:r>
      <w:r>
        <w:t xml:space="preserve">describes the attorney as respectful, cooperative, and honest. There were no indications of misconduct or violations of the Florida Bar's ethical rules. The attorney handles confidential information with the utmost discretion, a critical factor in maintaining client trust.</w:t>
      </w:r>
    </w:p>
    <w:bookmarkEnd w:id="25"/>
    <w:bookmarkStart w:id="26" w:name="client-communication-and-service"/>
    <w:p>
      <w:pPr>
        <w:pStyle w:val="Heading3"/>
      </w:pPr>
      <w:r>
        <w:t xml:space="preserve">3.4 Client Communication and Service</w:t>
      </w:r>
    </w:p>
    <w:p>
      <w:pPr>
        <w:pStyle w:val="FirstParagraph"/>
      </w:pPr>
      <w:r>
        <w:t xml:space="preserve">Effective communication is essential for a</w:t>
      </w:r>
      <w:r>
        <w:t xml:space="preserve"> </w:t>
      </w:r>
      <w:r>
        <w:rPr>
          <w:bCs/>
          <w:b/>
        </w:rPr>
        <w:t xml:space="preserve">Lawyer</w:t>
      </w:r>
      <w:r>
        <w:t xml:space="preserve"> </w:t>
      </w:r>
      <w:r>
        <w:t xml:space="preserve">serving clients in the diverse community of</w:t>
      </w:r>
      <w:r>
        <w:t xml:space="preserve"> </w:t>
      </w:r>
      <w:r>
        <w:rPr>
          <w:bCs/>
          <w:b/>
        </w:rPr>
        <w:t xml:space="preserve">United States Miami</w:t>
      </w:r>
      <w:r>
        <w:t xml:space="preserve">. The review indicates that the attorney is responsive and keeps clients informed about the status of their cases. The ability to explain complex legal concepts in understandable terms was noted as a particular strength. Client satisfaction surveys reflect a high level of confidence in the attorney's capabilities and dedication.</w:t>
      </w:r>
    </w:p>
    <w:bookmarkEnd w:id="26"/>
    <w:bookmarkEnd w:id="27"/>
    <w:bookmarkStart w:id="28" w:name="quantitative-ratings"/>
    <w:p>
      <w:pPr>
        <w:pStyle w:val="Heading2"/>
      </w:pPr>
      <w:r>
        <w:t xml:space="preserve">4. Quantitative Ratings</w:t>
      </w:r>
    </w:p>
    <w:p>
      <w:pPr>
        <w:pStyle w:val="FirstParagraph"/>
      </w:pPr>
      <w:r>
        <w:t xml:space="preserve">Legal Knowledge (Florida &amp; Federal Law)</w:t>
      </w:r>
      <w:r>
        <w:t xml:space="preserve"> </w:t>
      </w:r>
      <w:r>
        <w:t xml:space="preserve">9.5 / 10</w:t>
      </w:r>
    </w:p>
    <w:p>
      <w:pPr>
        <w:pStyle w:val="BodyText"/>
      </w:pPr>
      <w:r>
        <w:t xml:space="preserve">Courtroom Advocacy</w:t>
      </w:r>
      <w:r>
        <w:t xml:space="preserve"> </w:t>
      </w:r>
      <w:r>
        <w:t xml:space="preserve">9.0 / 10</w:t>
      </w:r>
    </w:p>
    <w:p>
      <w:pPr>
        <w:pStyle w:val="BodyText"/>
      </w:pPr>
      <w:r>
        <w:t xml:space="preserve">Professionalism &amp; Ethics</w:t>
      </w:r>
      <w:r>
        <w:t xml:space="preserve"> </w:t>
      </w:r>
      <w:r>
        <w:t xml:space="preserve">10 / 10</w:t>
      </w:r>
    </w:p>
    <w:p>
      <w:pPr>
        <w:pStyle w:val="BodyText"/>
      </w:pPr>
      <w:r>
        <w:t xml:space="preserve">Client Communication</w:t>
      </w:r>
      <w:r>
        <w:t xml:space="preserve"> </w:t>
      </w:r>
      <w:r>
        <w:t xml:space="preserve">9.2 / 10</w:t>
      </w:r>
    </w:p>
    <w:p>
      <w:pPr>
        <w:pStyle w:val="BodyText"/>
      </w:pPr>
      <w:r>
        <w:t xml:space="preserve">Overall Competence</w:t>
      </w:r>
      <w:r>
        <w:t xml:space="preserve"> </w:t>
      </w:r>
      <w:r>
        <w:t xml:space="preserve">9.4 / 10</w:t>
      </w:r>
    </w:p>
    <w:bookmarkEnd w:id="28"/>
    <w:bookmarkStart w:id="29" w:name="recommendations"/>
    <w:p>
      <w:pPr>
        <w:pStyle w:val="Heading2"/>
      </w:pPr>
      <w:r>
        <w:t xml:space="preserve">5. Recommendations</w:t>
      </w:r>
    </w:p>
    <w:p>
      <w:pPr>
        <w:pStyle w:val="FirstParagraph"/>
      </w:pPr>
      <w:r>
        <w:t xml:space="preserve">Based on the findings of this</w:t>
      </w:r>
      <w:r>
        <w:t xml:space="preserve"> </w:t>
      </w:r>
      <w:r>
        <w:rPr>
          <w:bCs/>
          <w:b/>
        </w:rPr>
        <w:t xml:space="preserve">Peer Review Report</w:t>
      </w:r>
      <w:r>
        <w:t xml:space="preserve">, the following recommendations are made for the</w:t>
      </w:r>
      <w:r>
        <w:t xml:space="preserve"> </w:t>
      </w:r>
      <w:r>
        <w:rPr>
          <w:bCs/>
          <w:b/>
        </w:rPr>
        <w:t xml:space="preserve">Lawyer</w:t>
      </w:r>
      <w:r>
        <w:t xml:space="preserve"> </w:t>
      </w:r>
      <w:r>
        <w:t xml:space="preserve">under review:</w:t>
      </w:r>
    </w:p>
    <w:p>
      <w:pPr>
        <w:numPr>
          <w:ilvl w:val="0"/>
          <w:numId w:val="1002"/>
        </w:numPr>
        <w:pStyle w:val="Compact"/>
      </w:pPr>
      <w:r>
        <w:t xml:space="preserve">Continue to engage in continuing legal education (CLE) focused on emerging trends in Florida law, particularly in areas such as cyber law and international trade, which are increasingly relevant in</w:t>
      </w:r>
      <w:r>
        <w:t xml:space="preserve"> </w:t>
      </w:r>
      <w:r>
        <w:rPr>
          <w:bCs/>
          <w:b/>
        </w:rPr>
        <w:t xml:space="preserve">United States Miami</w:t>
      </w:r>
      <w:r>
        <w:t xml:space="preserve">.</w:t>
      </w:r>
    </w:p>
    <w:p>
      <w:pPr>
        <w:numPr>
          <w:ilvl w:val="0"/>
          <w:numId w:val="1002"/>
        </w:numPr>
        <w:pStyle w:val="Compact"/>
      </w:pPr>
      <w:r>
        <w:t xml:space="preserve">Maintain the current high standards of ethical conduct and professionalism, which serve as a strong foundation for long-term success.</w:t>
      </w:r>
    </w:p>
    <w:p>
      <w:pPr>
        <w:numPr>
          <w:ilvl w:val="0"/>
          <w:numId w:val="1002"/>
        </w:numPr>
        <w:pStyle w:val="Compact"/>
      </w:pPr>
      <w:r>
        <w:t xml:space="preserve">Consider expanding pro bono involvement within the Miami community to further enhance professional reputation and contribute to access to justice.</w:t>
      </w:r>
    </w:p>
    <w:bookmarkEnd w:id="29"/>
    <w:bookmarkStart w:id="30"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Lawyer</w:t>
      </w:r>
      <w:r>
        <w:t xml:space="preserve"> </w:t>
      </w:r>
      <w:r>
        <w:t xml:space="preserve">is a highly competent and ethical legal professional. The attorney's performance in</w:t>
      </w:r>
      <w:r>
        <w:t xml:space="preserve"> </w:t>
      </w:r>
      <w:r>
        <w:rPr>
          <w:bCs/>
          <w:b/>
        </w:rPr>
        <w:t xml:space="preserve">United States Miami</w:t>
      </w:r>
      <w:r>
        <w:t xml:space="preserve"> </w:t>
      </w:r>
      <w:r>
        <w:t xml:space="preserve">is characterized by thorough legal knowledge, effective advocacy, and a strong commitment to client service. The review finds no deficiencies in the attorney's practice and recommends continued recognition of their professional standing within the legal community.</w:t>
      </w:r>
    </w:p>
    <w:bookmarkEnd w:id="30"/>
    <w:p>
      <w:pPr>
        <w:pStyle w:val="BodyText"/>
      </w:pPr>
      <w:r>
        <w:t xml:space="preserve">Lead Reviewer Signature</w:t>
      </w:r>
    </w:p>
    <w:p>
      <w:pPr>
        <w:pStyle w:val="BodyText"/>
      </w:pPr>
      <w:r>
        <w:rPr>
          <w:bCs/>
          <w:b/>
        </w:rPr>
        <w:t xml:space="preserve">Senior Partner</w:t>
      </w:r>
      <w:r>
        <w:br/>
      </w:r>
      <w:r>
        <w:t xml:space="preserve">Legal Review Committee</w:t>
      </w:r>
    </w:p>
    <w:p>
      <w:pPr>
        <w:pStyle w:val="BodyText"/>
      </w:pPr>
      <w:r>
        <w:t xml:space="preserve">Date of Approval</w:t>
      </w:r>
    </w:p>
    <w:p>
      <w:pPr>
        <w:pStyle w:val="BodyText"/>
      </w:pPr>
      <w:r>
        <w:rPr>
          <w:bCs/>
          <w:b/>
        </w:rPr>
        <w:t xml:space="preserve">October 24, 2023</w:t>
      </w:r>
    </w:p>
    <w:p>
      <w:pPr>
        <w:pStyle w:val="BodyText"/>
      </w:pPr>
      <w:r>
        <w:t xml:space="preserve">Confidential Document. This Peer Review Report is intended solely for the use of the addressee. Unauthorized distribution is prohibited.</w:t>
      </w:r>
      <w:r>
        <w:br/>
      </w:r>
      <w:r>
        <w:t xml:space="preserve">Prepared in accordance with the standards of the Florida Bar.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Professional Evaluation</dc:title>
  <dc:creator/>
  <dc:language>en</dc:language>
  <cp:keywords/>
  <dcterms:created xsi:type="dcterms:W3CDTF">2026-10-10T08:15:01Z</dcterms:created>
  <dcterms:modified xsi:type="dcterms:W3CDTF">2026-10-10T08:15:01Z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