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Legal Competence and Professional Conduct</w:t>
      </w:r>
    </w:p>
    <w:p>
      <w:pPr>
        <w:pStyle w:val="BodyText"/>
      </w:pPr>
      <w:r>
        <w:rPr>
          <w:bCs/>
          <w:b/>
        </w:rPr>
        <w:t xml:space="preserve">Jurisdiction:</w:t>
      </w:r>
      <w:r>
        <w:t xml:space="preserve"> </w:t>
      </w:r>
      <w:r>
        <w:t xml:space="preserve">United States New York City</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Committee on Character and Fitness / Internal Firm Review</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capabilities, ethical standards, and practical legal acumen of the subject Lawyer. The evaluation is conducted within the specific context of the legal landscape in United States New York City, a jurisdiction known for its rigorous standards, high-volume caseloads, and complex regulatory environment. The purpose of this document is to provide an objective, comprehensive analysis of the Lawyer's performance, ensuring alignment with the Rules of Professional Conduct established by the New York State Unified Court System and the expectations of the local bar.</w:t>
      </w:r>
    </w:p>
    <w:p>
      <w:pPr>
        <w:pStyle w:val="BodyText"/>
      </w:pPr>
      <w:r>
        <w:t xml:space="preserve">The review focuses on the Lawyer's ability to navigate the unique challenges presented by practicing law in New York City, including familiarity with the New York City Civil Court, the Supreme Court of the State of New York (Appellate Division, First Department), and federal courts located within the Southern District of New York.</w:t>
      </w:r>
    </w:p>
    <w:bookmarkEnd w:id="21"/>
    <w:bookmarkStart w:id="22" w:name="Xc9f808e10df0a0cb7a013904c084b86d539ab7a"/>
    <w:p>
      <w:pPr>
        <w:pStyle w:val="Heading2"/>
      </w:pPr>
      <w:r>
        <w:t xml:space="preserve">2. Professional Competence and Legal Knowledge</w:t>
      </w:r>
    </w:p>
    <w:p>
      <w:pPr>
        <w:pStyle w:val="FirstParagraph"/>
      </w:pPr>
      <w:r>
        <w:t xml:space="preserve">The Lawyer has demonstrated a robust understanding of substantive law relevant to their practice area. In the context of United States New York City, where legal precedents are frequently litigated and scrutinized, the subject has shown an ability to apply New York common law and statutory regulations effectively. The Lawyer exhibits proficiency in legal research, utilizing resources such as Westlaw and LexisNexis to construct well-reasoned arguments that adhere to local procedural rules.</w:t>
      </w:r>
    </w:p>
    <w:p>
      <w:pPr>
        <w:pStyle w:val="BodyText"/>
      </w:pPr>
      <w:r>
        <w:t xml:space="preserve">Specifically, the Lawyer's familiarity with the Civil Practice Law and Rules (CPLR) is evident in their drafting of motions, pleadings, and discovery requests. The precision with which they handle procedural deadlines—a critical factor in the fast-paced environment of New York City litigation—is commendable. Furthermore, the Lawyer demonstrates an awareness of the specific nuances required when practicing before judges in Manhattan and Brooklyn, adapting their advocacy style to the expectations of these distinct judicial forums.</w:t>
      </w:r>
    </w:p>
    <w:bookmarkEnd w:id="22"/>
    <w:bookmarkStart w:id="23" w:name="Xe47b1f6aa823ad1cecf5b041225a90b15b97f39"/>
    <w:p>
      <w:pPr>
        <w:pStyle w:val="Heading2"/>
      </w:pPr>
      <w:r>
        <w:t xml:space="preserve">3. Ethical Standards and Professional Responsibility</w:t>
      </w:r>
    </w:p>
    <w:p>
      <w:pPr>
        <w:pStyle w:val="FirstParagraph"/>
      </w:pPr>
      <w:r>
        <w:t xml:space="preserve">Adherence to ethical guidelines is paramount for any Lawyer practicing in the United States. This review confirms that the subject maintains a high standard of integrity, consistent with the New York Rules of Professional Conduct. The Lawyer has shown strict compliance with duties regarding client confidentiality, conflict of interest checks, and the safekeeping of client funds in accordance with New York State trust account regulations.</w:t>
      </w:r>
    </w:p>
    <w:p>
      <w:pPr>
        <w:pStyle w:val="BodyText"/>
      </w:pPr>
      <w:r>
        <w:t xml:space="preserve">In the dense professional network of New York City, where interactions with opposing counsel and court personnel are frequent, the Lawyer has maintained a reputation for civility and professionalism. There are no recorded instances of misconduct or disciplinary actions. The Lawyer’s commitment to pro bono service, a valued component of the New York City legal community, further underscores their dedication to the public interest and the rule of law.</w:t>
      </w:r>
    </w:p>
    <w:bookmarkEnd w:id="23"/>
    <w:bookmarkStart w:id="24" w:name="practical-skills-and-client-relations"/>
    <w:p>
      <w:pPr>
        <w:pStyle w:val="Heading2"/>
      </w:pPr>
      <w:r>
        <w:t xml:space="preserve">4. Practical Skills and Client Relations</w:t>
      </w:r>
    </w:p>
    <w:p>
      <w:pPr>
        <w:pStyle w:val="FirstParagraph"/>
      </w:pPr>
      <w:r>
        <w:t xml:space="preserve">The Lawyer possesses strong practical skills essential for effective representation in a major metropolitan hub like New York City. Their ability to manage a diverse caseload while maintaining attention to detail is notable. The Lawyer communicates clearly and promptly with clients, ensuring they are informed of case developments and legal options. This is particularly important in New York City, where clients often require rapid responses due to the urgency of commercial and residential matters.</w:t>
      </w:r>
    </w:p>
    <w:p>
      <w:pPr>
        <w:pStyle w:val="BodyText"/>
      </w:pPr>
      <w:r>
        <w:t xml:space="preserve">Negotiation skills are another area of strength. The Lawyer has successfully resolved disputes through mediation and settlement conferences, often avoiding the need for protracted litigation. This efficiency not only benefits the client but also contributes to the broader goal of reducing congestion in the New York City court system. The Lawyer’s ability to build rapport with clients from varied backgrounds reflects an understanding of the city’s demographic diversity.</w:t>
      </w:r>
    </w:p>
    <w:bookmarkEnd w:id="24"/>
    <w:bookmarkStart w:id="25" w:name="contribution-to-the-legal-community"/>
    <w:p>
      <w:pPr>
        <w:pStyle w:val="Heading2"/>
      </w:pPr>
      <w:r>
        <w:t xml:space="preserve">5. Contribution to the Legal Community</w:t>
      </w:r>
    </w:p>
    <w:p>
      <w:pPr>
        <w:pStyle w:val="FirstParagraph"/>
      </w:pPr>
      <w:r>
        <w:t xml:space="preserve">Beyond individual case work, the Lawyer has actively contributed to the legal community in United States New York City. Participation in local bar associations, such as the New York City Bar Association or specialized practice groups, demonstrates a commitment to professional development and networking. The Lawyer has also engaged in continuing legal education (CLE) programs, staying current with evolving laws and judicial trends specific to New York State.</w:t>
      </w:r>
    </w:p>
    <w:p>
      <w:pPr>
        <w:pStyle w:val="BodyText"/>
      </w:pPr>
      <w:r>
        <w:t xml:space="preserve">Mentorship of junior attorneys and law students is another positive aspect of the Lawyer’s profile. By sharing knowledge and experience, the Lawyer helps foster the next generation of legal professionals in one of the world’s most competitive legal markets.</w:t>
      </w:r>
    </w:p>
    <w:bookmarkEnd w:id="25"/>
    <w:bookmarkStart w:id="26" w:name="areas-for-improvement"/>
    <w:p>
      <w:pPr>
        <w:pStyle w:val="Heading2"/>
      </w:pPr>
      <w:r>
        <w:t xml:space="preserve">6. Areas for Improvement</w:t>
      </w:r>
    </w:p>
    <w:p>
      <w:pPr>
        <w:pStyle w:val="FirstParagraph"/>
      </w:pPr>
      <w:r>
        <w:t xml:space="preserve">While the Lawyer’s performance is largely exemplary, there are minor areas for growth. Given the rapid pace of legal technology adoption in New York City, the Lawyer could further enhance their proficiency with e-discovery tools and case management software. Additionally, expanding their network within specialized federal courts in the Southern District of New York could broaden their practice opportunities and deepen their expertise in federal litigation.</w:t>
      </w:r>
    </w:p>
    <w:bookmarkEnd w:id="26"/>
    <w:bookmarkStart w:id="27" w:name="conclusion"/>
    <w:p>
      <w:pPr>
        <w:pStyle w:val="Heading2"/>
      </w:pPr>
      <w:r>
        <w:t xml:space="preserve">7. Conclusion</w:t>
      </w:r>
    </w:p>
    <w:p>
      <w:pPr>
        <w:pStyle w:val="FirstParagraph"/>
      </w:pPr>
      <w:r>
        <w:t xml:space="preserve">In conclusion, this Peer Review Report affirms that the subject Lawyer is a competent, ethical, and dedicated legal professional well-suited to practice in United States New York City. Their knowledge of local laws, commitment to ethical standards, and strong practical skills make them a valuable asset to any legal team or firm. The Lawyer’s conduct aligns with the high expectations of the New York legal community, and they are recommended for continued practice and professional advancement.</w:t>
      </w:r>
    </w:p>
    <w:bookmarkEnd w:id="27"/>
    <w:p>
      <w:pPr>
        <w:pStyle w:val="BodyText"/>
      </w:pPr>
      <w:r>
        <w:rPr>
          <w:bCs/>
          <w:b/>
        </w:rPr>
        <w:t xml:space="preserve">Reviewer Name:</w:t>
      </w:r>
      <w:r>
        <w:t xml:space="preserve"> </w:t>
      </w:r>
      <w:r>
        <w:t xml:space="preserve">[Name of Reviewing Attorney]</w:t>
      </w:r>
    </w:p>
    <w:p>
      <w:pPr>
        <w:pStyle w:val="BodyText"/>
      </w:pPr>
      <w:r>
        <w:rPr>
          <w:bCs/>
          <w:b/>
        </w:rPr>
        <w:t xml:space="preserve">Title:</w:t>
      </w:r>
      <w:r>
        <w:t xml:space="preserve"> </w:t>
      </w:r>
      <w:r>
        <w:t xml:space="preserve">Senior Partner / Peer Review Committee Member</w:t>
      </w:r>
    </w:p>
    <w:p>
      <w:pPr>
        <w:pStyle w:val="BodyText"/>
      </w:pPr>
      <w:r>
        <w:rPr>
          <w:bCs/>
          <w:b/>
        </w:rPr>
        <w:t xml:space="preserve">Firm/Organization:</w:t>
      </w:r>
      <w:r>
        <w:t xml:space="preserve"> </w:t>
      </w:r>
      <w:r>
        <w:t xml:space="preserve">[Name of Law Firm or Organization]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Assessment</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