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Librarian Performance and Professional Practice</w:t>
      </w:r>
    </w:p>
    <w:p>
      <w:pPr>
        <w:pStyle w:val="BodyText"/>
      </w:pPr>
      <w:r>
        <w:rPr>
          <w:bCs/>
          <w:b/>
        </w:rPr>
        <w:t xml:space="preserve">Location:</w:t>
      </w:r>
      <w:r>
        <w:t xml:space="preserve"> </w:t>
      </w:r>
      <w:r>
        <w:t xml:space="preserve">Australia Melbourne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conducted to evaluate the professional performance, service delivery, and strategic contribution of the Librarian within the context of the vibrant cultural and educational landscape of Australia Melbourne. As a major hub for research, arts, and community engagement, Melbourne places a high premium on information accessibility, digital literacy, and inclusive service provision. This review aligns with the Australian and New Zealand Institute for Information Professionals (ANZIIF) standards and local municipal guidelines governing library services in Victoria.</w:t>
      </w:r>
    </w:p>
    <w:p>
      <w:pPr>
        <w:pStyle w:val="BodyText"/>
      </w:pPr>
      <w:r>
        <w:t xml:space="preserve">The objective of this assessment is to provide a comprehensive analysis of the Librarian’s effectiveness in managing collections, facilitating community programs, and integrating technology to meet the diverse needs of Melbourne’s multicultural population. The review is based on direct observation, stakeholder feedback, performance metrics, and self-assessment documentation.</w:t>
      </w:r>
    </w:p>
    <w:bookmarkEnd w:id="21"/>
    <w:bookmarkStart w:id="22" w:name="professional-competencies-and-knowledge"/>
    <w:p>
      <w:pPr>
        <w:pStyle w:val="Heading2"/>
      </w:pPr>
      <w:r>
        <w:t xml:space="preserve">2. Professional Competencies and Knowledge</w:t>
      </w:r>
    </w:p>
    <w:p>
      <w:pPr>
        <w:pStyle w:val="FirstParagraph"/>
      </w:pPr>
      <w:r>
        <w:t xml:space="preserve">The Librarian has demonstrated a robust command of information science principles, tailored effectively to the local context of Australia Melbourne. Their ability to curate collections that reflect the city’s rich Indigenous heritage, alongside its contemporary multicultural demographics, is commendable. The review notes a significant improvement in the acquisition of resources that support local authors, artists, and researchers, thereby strengthening the library’s role as a custodian of Melbourne’s cultural identity.</w:t>
      </w:r>
    </w:p>
    <w:p>
      <w:pPr>
        <w:pStyle w:val="BodyText"/>
      </w:pPr>
      <w:r>
        <w:t xml:space="preserve">Furthermore, the Librarian exhibits a strong understanding of copyright law and privacy regulations as they apply in Australia. This legal acumen ensures that the library operates within compliance frameworks while maximizing access to digital and physical resources. Their proficiency in using library management systems and digital archives has streamlined cataloging processes, resulting in faster retrieval times for patrons.</w:t>
      </w:r>
    </w:p>
    <w:bookmarkEnd w:id="22"/>
    <w:bookmarkStart w:id="23" w:name="Xe97c5852923b3cddc7ee66cdc29b0873bcfd313"/>
    <w:p>
      <w:pPr>
        <w:pStyle w:val="Heading2"/>
      </w:pPr>
      <w:r>
        <w:t xml:space="preserve">3. Community Engagement and Service Delivery</w:t>
      </w:r>
    </w:p>
    <w:p>
      <w:pPr>
        <w:pStyle w:val="FirstParagraph"/>
      </w:pPr>
      <w:r>
        <w:t xml:space="preserve">A critical aspect of this Peer Review Report is the evaluation of community engagement. In Australia Melbourne, libraries serve as vital community hubs, and the Librarian has excelled in this domain. They have successfully organized and facilitated a series of workshops focused on digital literacy, which are particularly relevant given the city’s rapid technological advancement. These programs have been well-received by diverse age groups, from school children to senior citizens.</w:t>
      </w:r>
    </w:p>
    <w:p>
      <w:pPr>
        <w:pStyle w:val="BodyText"/>
      </w:pPr>
      <w:r>
        <w:t xml:space="preserve">The Librarian’s initiative in collaborating with local schools and universities has fostered stronger educational partnerships. By hosting author talks, cultural festivals, and language exchange programs, they have enhanced the library’s visibility and relevance within the Melbourne community. Feedback from patrons indicates a high level of satisfaction with the welcoming and inclusive atmosphere cultivated by the Librarian, reflecting the city’s values of diversity and social cohesion.</w:t>
      </w:r>
    </w:p>
    <w:bookmarkEnd w:id="23"/>
    <w:bookmarkStart w:id="24" w:name="leadership-and-team-collaboration"/>
    <w:p>
      <w:pPr>
        <w:pStyle w:val="Heading2"/>
      </w:pPr>
      <w:r>
        <w:t xml:space="preserve">4. Leadership and Team Collaboration</w:t>
      </w:r>
    </w:p>
    <w:p>
      <w:pPr>
        <w:pStyle w:val="FirstParagraph"/>
      </w:pPr>
      <w:r>
        <w:t xml:space="preserve">Leadership capabilities are essential for a Librarian managing a dynamic team in a bustling city like Australia Melbourne. The review highlights the Librarian’s effective communication skills and their ability to mentor junior staff and volunteers. They have implemented regular training sessions to keep the team updated on the latest trends in library science and customer service, ensuring a high standard of professionalism across all interactions.</w:t>
      </w:r>
    </w:p>
    <w:p>
      <w:pPr>
        <w:pStyle w:val="BodyText"/>
      </w:pPr>
      <w:r>
        <w:t xml:space="preserve">The Librarian has also demonstrated strong collaborative skills by working closely with other departments within the local council and external stakeholders. This cross-functional cooperation has led to successful joint projects, such as the development of a community history archive and the integration of library services with local tourism initiatives. Their leadership style is characterized by empathy, transparency, and a commitment to continuous improvement.</w:t>
      </w:r>
    </w:p>
    <w:bookmarkEnd w:id="24"/>
    <w:bookmarkStart w:id="25" w:name="innovation-and-adaptability"/>
    <w:p>
      <w:pPr>
        <w:pStyle w:val="Heading2"/>
      </w:pPr>
      <w:r>
        <w:t xml:space="preserve">5. Innovation and Adaptability</w:t>
      </w:r>
    </w:p>
    <w:p>
      <w:pPr>
        <w:pStyle w:val="FirstParagraph"/>
      </w:pPr>
      <w:r>
        <w:t xml:space="preserve">In an era of rapid change, the ability to innovate is crucial. The Librarian has shown remarkable adaptability by introducing new technologies and services that align with the evolving needs of Melbourne’s residents. The implementation of e-book lending platforms, virtual reality experiences, and maker spaces has positioned the library as a forward-thinking institution. These innovations have not only increased patronage but also attracted a younger demographic to the library.</w:t>
      </w:r>
    </w:p>
    <w:p>
      <w:pPr>
        <w:pStyle w:val="BodyText"/>
      </w:pPr>
      <w:r>
        <w:t xml:space="preserve">Additionally, the Librarian has been proactive in addressing challenges such as budget constraints and space limitations. By optimizing resource allocation and exploring alternative funding sources, they have maintained the quality of services despite financial pressures. Their strategic vision ensures that the library remains a sustainable and valuable asset to the community of Australia Melbourne.</w:t>
      </w:r>
    </w:p>
    <w:bookmarkEnd w:id="25"/>
    <w:bookmarkStart w:id="26" w:name="areas-for-improvement"/>
    <w:p>
      <w:pPr>
        <w:pStyle w:val="Heading2"/>
      </w:pPr>
      <w:r>
        <w:t xml:space="preserve">6. Areas for Improvement</w:t>
      </w:r>
    </w:p>
    <w:p>
      <w:pPr>
        <w:pStyle w:val="FirstParagraph"/>
      </w:pPr>
      <w:r>
        <w:t xml:space="preserve">While the Librarian’s performance is largely exemplary, this Peer Review Report identifies a few areas for further development. There is an opportunity to enhance the library’s online presence through more robust social media engagement and digital marketing strategies. Additionally, expanding partnerships with local businesses and cultural organizations could further enrich the library’s programming and resource offerings.</w:t>
      </w:r>
    </w:p>
    <w:p>
      <w:pPr>
        <w:pStyle w:val="BodyText"/>
      </w:pPr>
      <w:r>
        <w:t xml:space="preserve">The Librarian is encouraged to continue professional development in the areas of data analytics and user experience design. Leveraging data insights could help tailor services more precisely to the needs of different community segments, thereby maximizing the impact of library initiatives in Australia Melbourne.</w:t>
      </w:r>
    </w:p>
    <w:bookmarkEnd w:id="26"/>
    <w:bookmarkStart w:id="27" w:name="conclusion"/>
    <w:p>
      <w:pPr>
        <w:pStyle w:val="Heading2"/>
      </w:pPr>
      <w:r>
        <w:t xml:space="preserve">7. Conclusion</w:t>
      </w:r>
    </w:p>
    <w:p>
      <w:pPr>
        <w:pStyle w:val="FirstParagraph"/>
      </w:pPr>
      <w:r>
        <w:t xml:space="preserve">In conclusion, this Peer Review Report affirms that the Librarian is performing at a high level of professionalism and dedication. Their contributions have significantly enhanced the library’s role as a cornerstone of community life in Australia Melbourne. By combining traditional library values with innovative practices, the Librarian has ensured that the institution remains relevant, accessible, and impactful.</w:t>
      </w:r>
    </w:p>
    <w:p>
      <w:pPr>
        <w:pStyle w:val="BodyText"/>
      </w:pPr>
      <w:r>
        <w:t xml:space="preserve">The review recommends continued support for the Librarian’s initiatives and encourages the pursuit of further opportunities for growth and collaboration. Their work exemplifies the best practices of library science and serves as a model for other institutions in the region.</w:t>
      </w:r>
    </w:p>
    <w:bookmarkEnd w:id="27"/>
    <w:p>
      <w:pPr>
        <w:pStyle w:val="BodyText"/>
      </w:pPr>
      <w:r>
        <w:rPr>
          <w:bCs/>
          <w:b/>
        </w:rPr>
        <w:t xml:space="preserve">Reviewed by:</w:t>
      </w:r>
    </w:p>
    <w:p>
      <w:pPr>
        <w:pStyle w:val="BodyText"/>
      </w:pPr>
      <w:r>
        <w:t xml:space="preserve">Dr. Jane Smith</w:t>
      </w:r>
    </w:p>
    <w:p>
      <w:pPr>
        <w:pStyle w:val="BodyText"/>
      </w:pPr>
      <w:r>
        <w:t xml:space="preserve">Senior Information Professional</w:t>
      </w:r>
    </w:p>
    <w:p>
      <w:pPr>
        <w:pStyle w:val="BodyText"/>
      </w:pPr>
      <w:r>
        <w:t xml:space="preserve">Melbourne Library Association</w:t>
      </w:r>
    </w:p>
    <w:p>
      <w:pPr>
        <w:pStyle w:val="BodyText"/>
      </w:pPr>
      <w:r>
        <w:t xml:space="preserve">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Australia Melbourne</dc:title>
  <dc:creator/>
  <dc:language>en</dc:language>
  <cp:keywords/>
  <dcterms:created xsi:type="dcterms:W3CDTF">2026-10-10T03:13:12Z</dcterms:created>
  <dcterms:modified xsi:type="dcterms:W3CDTF">2026-10-10T03:13:12Z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