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Librarian</w:t>
      </w:r>
      <w:r>
        <w:t xml:space="preserve"> </w:t>
      </w:r>
      <w:r>
        <w:t xml:space="preserve">Professional</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Librarian Professional Performance Assessment</w:t>
      </w:r>
    </w:p>
    <w:p>
      <w:pPr>
        <w:pStyle w:val="BodyText"/>
      </w:pPr>
      <w:r>
        <w:rPr>
          <w:bCs/>
          <w:b/>
        </w:rPr>
        <w:t xml:space="preserve">Location:</w:t>
      </w:r>
      <w:r>
        <w:t xml:space="preserve"> </w:t>
      </w:r>
      <w:r>
        <w:t xml:space="preserve">Iran, Tehran</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competencies, and contributions of a Librarian working within the academic and cultural landscape of Iran, specifically in Tehran. The purpose of this review is to provide constructive feedback, identify areas of excellence, and suggest improvements that align with the evolving needs of library services in the region. The assessment considers the unique challenges and opportunities faced by librarians in Tehran, including technological advancements, cultural preservation, and the growing demand for digital resources.</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key areas:</w:t>
      </w:r>
    </w:p>
    <w:p>
      <w:pPr>
        <w:numPr>
          <w:ilvl w:val="0"/>
          <w:numId w:val="1001"/>
        </w:numPr>
        <w:pStyle w:val="Compact"/>
      </w:pPr>
      <w:r>
        <w:t xml:space="preserve">Professional knowledge and expertise in library science.</w:t>
      </w:r>
    </w:p>
    <w:p>
      <w:pPr>
        <w:numPr>
          <w:ilvl w:val="0"/>
          <w:numId w:val="1001"/>
        </w:numPr>
        <w:pStyle w:val="Compact"/>
      </w:pPr>
      <w:r>
        <w:t xml:space="preserve">Effectiveness in managing and organizing library resources.</w:t>
      </w:r>
    </w:p>
    <w:p>
      <w:pPr>
        <w:numPr>
          <w:ilvl w:val="0"/>
          <w:numId w:val="1001"/>
        </w:numPr>
        <w:pStyle w:val="Compact"/>
      </w:pPr>
      <w:r>
        <w:t xml:space="preserve">Ability to provide user-centered services to patrons.</w:t>
      </w:r>
    </w:p>
    <w:p>
      <w:pPr>
        <w:numPr>
          <w:ilvl w:val="0"/>
          <w:numId w:val="1001"/>
        </w:numPr>
        <w:pStyle w:val="Compact"/>
      </w:pPr>
      <w:r>
        <w:t xml:space="preserve">Contribution to the preservation and promotion of cultural heritage.</w:t>
      </w:r>
    </w:p>
    <w:p>
      <w:pPr>
        <w:numPr>
          <w:ilvl w:val="0"/>
          <w:numId w:val="1001"/>
        </w:numPr>
        <w:pStyle w:val="Compact"/>
      </w:pPr>
      <w:r>
        <w:t xml:space="preserve">Adaptability to technological changes and digital transformation.</w:t>
      </w:r>
    </w:p>
    <w:p>
      <w:pPr>
        <w:numPr>
          <w:ilvl w:val="0"/>
          <w:numId w:val="1001"/>
        </w:numPr>
        <w:pStyle w:val="Compact"/>
      </w:pPr>
      <w:r>
        <w:t xml:space="preserve">Collaboration with colleagues and stakeholders in Tehran’s library community.</w:t>
      </w:r>
    </w:p>
    <w:bookmarkEnd w:id="22"/>
    <w:bookmarkStart w:id="23" w:name="evaluation-criteria"/>
    <w:p>
      <w:pPr>
        <w:pStyle w:val="Heading2"/>
      </w:pPr>
      <w:r>
        <w:t xml:space="preserve">3. Evaluation Criteria</w:t>
      </w:r>
    </w:p>
    <w:p>
      <w:pPr>
        <w:pStyle w:val="FirstParagraph"/>
      </w:pPr>
      <w:r>
        <w:t xml:space="preserve">The evaluation of the Librarian’s performance is based on the following criteria:</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Criteria</w:t>
            </w:r>
          </w:p>
        </w:tc>
        <w:tc>
          <w:tcPr/>
          <w:p>
            <w:pPr>
              <w:pStyle w:val="Compact"/>
              <w:jc w:val="left"/>
            </w:pPr>
            <w:r>
              <w:t xml:space="preserve">Description</w:t>
            </w:r>
          </w:p>
        </w:tc>
      </w:tr>
      <w:tr>
        <w:tc>
          <w:tcPr/>
          <w:p>
            <w:pPr>
              <w:pStyle w:val="Compact"/>
              <w:jc w:val="left"/>
            </w:pPr>
            <w:r>
              <w:t xml:space="preserve">Professional Knowledge</w:t>
            </w:r>
          </w:p>
        </w:tc>
        <w:tc>
          <w:tcPr/>
          <w:p>
            <w:pPr>
              <w:pStyle w:val="Compact"/>
              <w:jc w:val="left"/>
            </w:pPr>
            <w:r>
              <w:t xml:space="preserve">Depth of understanding of library science principles, cataloging systems, and information management.</w:t>
            </w:r>
          </w:p>
        </w:tc>
      </w:tr>
      <w:tr>
        <w:tc>
          <w:tcPr/>
          <w:p>
            <w:pPr>
              <w:pStyle w:val="Compact"/>
              <w:jc w:val="left"/>
            </w:pPr>
            <w:r>
              <w:t xml:space="preserve">Resource Management</w:t>
            </w:r>
          </w:p>
        </w:tc>
        <w:tc>
          <w:tcPr/>
          <w:p>
            <w:pPr>
              <w:pStyle w:val="Compact"/>
              <w:jc w:val="left"/>
            </w:pPr>
            <w:r>
              <w:t xml:space="preserve">Efficiency in acquiring, organizing, and maintaining library collections.</w:t>
            </w:r>
          </w:p>
        </w:tc>
      </w:tr>
      <w:tr>
        <w:tc>
          <w:tcPr/>
          <w:p>
            <w:pPr>
              <w:pStyle w:val="Compact"/>
              <w:jc w:val="left"/>
            </w:pPr>
            <w:r>
              <w:t xml:space="preserve">User Services</w:t>
            </w:r>
          </w:p>
        </w:tc>
        <w:tc>
          <w:tcPr/>
          <w:p>
            <w:pPr>
              <w:pStyle w:val="Compact"/>
              <w:jc w:val="left"/>
            </w:pPr>
            <w:r>
              <w:t xml:space="preserve">Quality of assistance provided to patrons, including reference services and information literacy programs.</w:t>
            </w:r>
          </w:p>
        </w:tc>
      </w:tr>
      <w:tr>
        <w:tc>
          <w:tcPr/>
          <w:p>
            <w:pPr>
              <w:pStyle w:val="Compact"/>
              <w:jc w:val="left"/>
            </w:pPr>
            <w:r>
              <w:t xml:space="preserve">Cultural Contribution</w:t>
            </w:r>
          </w:p>
        </w:tc>
        <w:tc>
          <w:tcPr/>
          <w:p>
            <w:pPr>
              <w:pStyle w:val="Compact"/>
              <w:jc w:val="left"/>
            </w:pPr>
            <w:r>
              <w:t xml:space="preserve">Efforts to preserve and promote Iran’s cultural heritage through library initiatives.</w:t>
            </w:r>
          </w:p>
        </w:tc>
      </w:tr>
      <w:tr>
        <w:tc>
          <w:tcPr/>
          <w:p>
            <w:pPr>
              <w:pStyle w:val="Compact"/>
              <w:jc w:val="left"/>
            </w:pPr>
            <w:r>
              <w:t xml:space="preserve">Technological Adaptability</w:t>
            </w:r>
          </w:p>
        </w:tc>
        <w:tc>
          <w:tcPr/>
          <w:p>
            <w:pPr>
              <w:pStyle w:val="Compact"/>
              <w:jc w:val="left"/>
            </w:pPr>
            <w:r>
              <w:t xml:space="preserve">Proficiency in using modern library technologies and digital tools.</w:t>
            </w:r>
          </w:p>
        </w:tc>
      </w:tr>
      <w:tr>
        <w:tc>
          <w:tcPr/>
          <w:p>
            <w:pPr>
              <w:pStyle w:val="Compact"/>
              <w:jc w:val="left"/>
            </w:pPr>
            <w:r>
              <w:t xml:space="preserve">Collaboration</w:t>
            </w:r>
          </w:p>
        </w:tc>
        <w:tc>
          <w:tcPr/>
          <w:p>
            <w:pPr>
              <w:pStyle w:val="Compact"/>
              <w:jc w:val="left"/>
            </w:pPr>
            <w:r>
              <w:t xml:space="preserve">Ability to work effectively with colleagues, institutions, and the broader community in Tehran.</w:t>
            </w:r>
          </w:p>
        </w:tc>
      </w:tr>
    </w:tbl>
    <w:bookmarkEnd w:id="23"/>
    <w:bookmarkStart w:id="30" w:name="findings"/>
    <w:p>
      <w:pPr>
        <w:pStyle w:val="Heading2"/>
      </w:pPr>
      <w:r>
        <w:t xml:space="preserve">4. Findings</w:t>
      </w:r>
    </w:p>
    <w:bookmarkStart w:id="24" w:name="professional-knowledge"/>
    <w:p>
      <w:pPr>
        <w:pStyle w:val="Heading3"/>
      </w:pPr>
      <w:r>
        <w:t xml:space="preserve">4.1 Professional Knowledge</w:t>
      </w:r>
    </w:p>
    <w:p>
      <w:pPr>
        <w:pStyle w:val="FirstParagraph"/>
      </w:pPr>
      <w:r>
        <w:t xml:space="preserve">The Librarian demonstrates a strong foundation in library science, with a clear understanding of cataloging standards and information organization. Their ability to navigate complex classification systems ensures that resources are accessible to users. However, there is room for further development in emerging areas such as data management and digital archiving.</w:t>
      </w:r>
    </w:p>
    <w:bookmarkEnd w:id="24"/>
    <w:bookmarkStart w:id="25" w:name="resource-management"/>
    <w:p>
      <w:pPr>
        <w:pStyle w:val="Heading3"/>
      </w:pPr>
      <w:r>
        <w:t xml:space="preserve">4.2 Resource Management</w:t>
      </w:r>
    </w:p>
    <w:p>
      <w:pPr>
        <w:pStyle w:val="FirstParagraph"/>
      </w:pPr>
      <w:r>
        <w:t xml:space="preserve">The Librarian has shown commendable skills in managing the library’s collection, ensuring that materials are relevant, up-to-date, and well-organized. Their efforts to acquire resources that reflect the diverse needs of Tehran’s population are particularly noteworthy. Nevertheless, greater emphasis could be placed on expanding digital resources to meet the growing demand for online access.</w:t>
      </w:r>
    </w:p>
    <w:bookmarkEnd w:id="25"/>
    <w:bookmarkStart w:id="26" w:name="user-services"/>
    <w:p>
      <w:pPr>
        <w:pStyle w:val="Heading3"/>
      </w:pPr>
      <w:r>
        <w:t xml:space="preserve">4.3 User Services</w:t>
      </w:r>
    </w:p>
    <w:p>
      <w:pPr>
        <w:pStyle w:val="FirstParagraph"/>
      </w:pPr>
      <w:r>
        <w:t xml:space="preserve">User services are a significant strength of the Librarian’s performance. They consistently provide helpful and accurate assistance to patrons, fostering a welcoming environment. The implementation of information literacy programs has been particularly effective in empowering users to navigate library resources independently. To further enhance this area, the Librarian could explore innovative methods of engaging younger audiences.</w:t>
      </w:r>
    </w:p>
    <w:bookmarkEnd w:id="26"/>
    <w:bookmarkStart w:id="27" w:name="cultural-contribution"/>
    <w:p>
      <w:pPr>
        <w:pStyle w:val="Heading3"/>
      </w:pPr>
      <w:r>
        <w:t xml:space="preserve">4.4 Cultural Contribution</w:t>
      </w:r>
    </w:p>
    <w:p>
      <w:pPr>
        <w:pStyle w:val="FirstParagraph"/>
      </w:pPr>
      <w:r>
        <w:t xml:space="preserve">The Librarian has made meaningful contributions to the preservation and promotion of Iran’s cultural heritage. Their initiatives to digitize historical documents and organize cultural events have enriched the library’s role as a community hub. Continued collaboration with local cultural institutions in Tehran could amplify these efforts.</w:t>
      </w:r>
    </w:p>
    <w:bookmarkEnd w:id="27"/>
    <w:bookmarkStart w:id="28" w:name="technological-adaptability"/>
    <w:p>
      <w:pPr>
        <w:pStyle w:val="Heading3"/>
      </w:pPr>
      <w:r>
        <w:t xml:space="preserve">4.5 Technological Adaptability</w:t>
      </w:r>
    </w:p>
    <w:p>
      <w:pPr>
        <w:pStyle w:val="FirstParagraph"/>
      </w:pPr>
      <w:r>
        <w:t xml:space="preserve">While the Librarian is proficient in using basic library technologies, there is an opportunity to deepen their expertise in advanced digital tools. Embracing emerging technologies such as artificial intelligence and machine learning could significantly enhance service delivery and resource management.</w:t>
      </w:r>
    </w:p>
    <w:bookmarkEnd w:id="28"/>
    <w:bookmarkStart w:id="29" w:name="collaboration"/>
    <w:p>
      <w:pPr>
        <w:pStyle w:val="Heading3"/>
      </w:pPr>
      <w:r>
        <w:t xml:space="preserve">4.6 Collaboration</w:t>
      </w:r>
    </w:p>
    <w:p>
      <w:pPr>
        <w:pStyle w:val="FirstParagraph"/>
      </w:pPr>
      <w:r>
        <w:t xml:space="preserve">The Librarian has demonstrated a collaborative spirit, working effectively with colleagues and stakeholders. Their participation in professional networks and conferences in Tehran has contributed to their growth and the library’s reputation. Strengthening partnerships with academic institutions and community organizations could further expand their impact.</w:t>
      </w:r>
    </w:p>
    <w:bookmarkEnd w:id="29"/>
    <w:bookmarkEnd w:id="30"/>
    <w:bookmarkStart w:id="31" w:name="recommendations"/>
    <w:p>
      <w:pPr>
        <w:pStyle w:val="Heading2"/>
      </w:pPr>
      <w:r>
        <w:t xml:space="preserve">5. Recommendations</w:t>
      </w:r>
    </w:p>
    <w:p>
      <w:pPr>
        <w:pStyle w:val="FirstParagraph"/>
      </w:pPr>
      <w:r>
        <w:t xml:space="preserve">Based on the findings of this Peer Review Report, the following recommendations are proposed:</w:t>
      </w:r>
    </w:p>
    <w:p>
      <w:pPr>
        <w:numPr>
          <w:ilvl w:val="0"/>
          <w:numId w:val="1002"/>
        </w:numPr>
        <w:pStyle w:val="Compact"/>
      </w:pPr>
      <w:r>
        <w:t xml:space="preserve">Engage in continuous professional development to stay updated on emerging trends in library science and technology.</w:t>
      </w:r>
    </w:p>
    <w:p>
      <w:pPr>
        <w:numPr>
          <w:ilvl w:val="0"/>
          <w:numId w:val="1002"/>
        </w:numPr>
        <w:pStyle w:val="Compact"/>
      </w:pPr>
      <w:r>
        <w:t xml:space="preserve">Expand the library’s digital collection to meet the increasing demand for online resources.</w:t>
      </w:r>
    </w:p>
    <w:p>
      <w:pPr>
        <w:numPr>
          <w:ilvl w:val="0"/>
          <w:numId w:val="1002"/>
        </w:numPr>
        <w:pStyle w:val="Compact"/>
      </w:pPr>
      <w:r>
        <w:t xml:space="preserve">Develop targeted programs to engage younger audiences and promote lifelong learning.</w:t>
      </w:r>
    </w:p>
    <w:p>
      <w:pPr>
        <w:numPr>
          <w:ilvl w:val="0"/>
          <w:numId w:val="1002"/>
        </w:numPr>
        <w:pStyle w:val="Compact"/>
      </w:pPr>
      <w:r>
        <w:t xml:space="preserve">Strengthen collaborations with cultural and academic institutions in Tehran to enhance the library’s role as a community resource.</w:t>
      </w:r>
    </w:p>
    <w:p>
      <w:pPr>
        <w:numPr>
          <w:ilvl w:val="0"/>
          <w:numId w:val="1002"/>
        </w:numPr>
        <w:pStyle w:val="Compact"/>
      </w:pPr>
      <w:r>
        <w:t xml:space="preserve">Invest in training and tools to improve proficiency in advanced digital technologies.</w:t>
      </w:r>
    </w:p>
    <w:bookmarkEnd w:id="31"/>
    <w:bookmarkStart w:id="32" w:name="conclusion"/>
    <w:p>
      <w:pPr>
        <w:pStyle w:val="Heading2"/>
      </w:pPr>
      <w:r>
        <w:t xml:space="preserve">6. Conclusion</w:t>
      </w:r>
    </w:p>
    <w:p>
      <w:pPr>
        <w:pStyle w:val="FirstParagraph"/>
      </w:pPr>
      <w:r>
        <w:t xml:space="preserve">This Peer Review Report highlights the strengths and areas for improvement of the Librarian’s performance in the context of Iran, Tehran. The Librarian’s dedication to providing high-quality services and preserving cultural heritage is commendable. By addressing the identified areas for growth, the Librarian can further enhance their contributions to the library community and the broader society. This report serves as a valuable tool for professional development and underscores the importance of continuous improvement in the dynamic field of librarianship.</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Librarian Professional Assessment</dc:title>
  <dc:creator/>
  <dc:language>en</dc:language>
  <cp:keywords/>
  <dcterms:created xsi:type="dcterms:W3CDTF">2026-10-10T01:06:30Z</dcterms:created>
  <dcterms:modified xsi:type="dcterms:W3CDTF">2026-10-10T01:06:30Z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