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for Library Services</w:t>
      </w:r>
    </w:p>
    <w:p>
      <w:pPr>
        <w:pStyle w:val="BodyText"/>
      </w:pPr>
      <w:r>
        <w:rPr>
          <w:bCs/>
          <w:b/>
        </w:rPr>
        <w:t xml:space="preserve">Location:</w:t>
      </w:r>
      <w:r>
        <w:t xml:space="preserve"> </w:t>
      </w:r>
      <w:r>
        <w:t xml:space="preserve">Qatar Doha</w:t>
      </w:r>
      <w:r>
        <w:br/>
      </w:r>
      <w:r>
        <w:rPr>
          <w:bCs/>
          <w:b/>
        </w:rPr>
        <w:t xml:space="preserve">Institution:</w:t>
      </w:r>
      <w:r>
        <w:t xml:space="preserve"> </w:t>
      </w:r>
      <w:r>
        <w:t xml:space="preserve">[Insert Library Name, e.g., Qatar National Library / University Library]</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Reviewer:</w:t>
      </w:r>
      <w:r>
        <w:t xml:space="preserve"> </w:t>
      </w:r>
      <w:r>
        <w:t xml:space="preserve">Senior Librarian / Peer Committee</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technical competencies, and service delivery of the</w:t>
      </w:r>
      <w:r>
        <w:t xml:space="preserve"> </w:t>
      </w:r>
      <w:r>
        <w:rPr>
          <w:bCs/>
          <w:b/>
        </w:rPr>
        <w:t xml:space="preserve">Librarian</w:t>
      </w:r>
      <w:r>
        <w:t xml:space="preserve"> </w:t>
      </w:r>
      <w:r>
        <w:t xml:space="preserve">under review. Situated within the dynamic cultural and educational landscape of</w:t>
      </w:r>
      <w:r>
        <w:t xml:space="preserve"> </w:t>
      </w:r>
      <w:r>
        <w:rPr>
          <w:bCs/>
          <w:b/>
        </w:rPr>
        <w:t xml:space="preserve">Qatar Doha</w:t>
      </w:r>
      <w:r>
        <w:t xml:space="preserve">, this evaluation aligns with the national vision for knowledge dissemination and digital transformation. The review focuses on the Librarian's ability to manage diverse collections, support academic and community research, and integrate modern information technologies while respecting local cultural nuances.</w:t>
      </w:r>
    </w:p>
    <w:p>
      <w:pPr>
        <w:pStyle w:val="BodyText"/>
      </w:pPr>
      <w:r>
        <w:t xml:space="preserve">The overall rating for this review period is</w:t>
      </w:r>
      <w:r>
        <w:t xml:space="preserve"> </w:t>
      </w:r>
      <w:r>
        <w:rPr>
          <w:bCs/>
          <w:b/>
        </w:rPr>
        <w:t xml:space="preserve">Exceeds Expectations</w:t>
      </w:r>
      <w:r>
        <w:t xml:space="preserve">. The Librarian has demonstrated exceptional dedication to enhancing the user experience and maintaining high standards of library science practice in the region.</w:t>
      </w:r>
    </w:p>
    <w:bookmarkEnd w:id="21"/>
    <w:bookmarkStart w:id="22" w:name="collection-development-and-management"/>
    <w:p>
      <w:pPr>
        <w:pStyle w:val="Heading2"/>
      </w:pPr>
      <w:r>
        <w:t xml:space="preserve">2. Collection Development and Management</w:t>
      </w:r>
    </w:p>
    <w:p>
      <w:pPr>
        <w:pStyle w:val="FirstParagraph"/>
      </w:pPr>
      <w:r>
        <w:t xml:space="preserve">A core responsibility of the</w:t>
      </w:r>
      <w:r>
        <w:t xml:space="preserve"> </w:t>
      </w:r>
      <w:r>
        <w:rPr>
          <w:bCs/>
          <w:b/>
        </w:rPr>
        <w:t xml:space="preserve">Librarian</w:t>
      </w:r>
      <w:r>
        <w:t xml:space="preserve"> </w:t>
      </w:r>
      <w:r>
        <w:t xml:space="preserve">in</w:t>
      </w:r>
      <w:r>
        <w:t xml:space="preserve"> </w:t>
      </w:r>
      <w:r>
        <w:rPr>
          <w:bCs/>
          <w:b/>
        </w:rPr>
        <w:t xml:space="preserve">Qatar Doha</w:t>
      </w:r>
      <w:r>
        <w:t xml:space="preserve"> </w:t>
      </w:r>
      <w:r>
        <w:t xml:space="preserve">is the curation of a collection that reflects both global academic standards and local heritage. During this review period, the Librarian successfully expanded the digital repository, ensuring seamless access to e-resources for patrons across the city.</w:t>
      </w:r>
    </w:p>
    <w:p>
      <w:pPr>
        <w:pStyle w:val="BodyText"/>
      </w:pPr>
      <w:r>
        <w:rPr>
          <w:bCs/>
          <w:b/>
        </w:rPr>
        <w:t xml:space="preserve">Key Achievements:</w:t>
      </w:r>
    </w:p>
    <w:p>
      <w:pPr>
        <w:numPr>
          <w:ilvl w:val="0"/>
          <w:numId w:val="1001"/>
        </w:numPr>
        <w:pStyle w:val="Compact"/>
      </w:pPr>
      <w:r>
        <w:t xml:space="preserve">Implemented a new acquisition strategy that increased the availability of Arabic-language resources by 15%, directly supporting the linguistic diversity of the Doha community.</w:t>
      </w:r>
    </w:p>
    <w:p>
      <w:pPr>
        <w:numPr>
          <w:ilvl w:val="0"/>
          <w:numId w:val="1001"/>
        </w:numPr>
        <w:pStyle w:val="Compact"/>
      </w:pPr>
      <w:r>
        <w:t xml:space="preserve">Conducted a thorough audit of physical holdings, removing obsolete materials and reallocating budget to high-demand STEM and humanities journals.</w:t>
      </w:r>
    </w:p>
    <w:p>
      <w:pPr>
        <w:numPr>
          <w:ilvl w:val="0"/>
          <w:numId w:val="1001"/>
        </w:numPr>
        <w:pStyle w:val="Compact"/>
      </w:pPr>
      <w:r>
        <w:t xml:space="preserve">Collaborated with local publishers in Qatar to secure exclusive digital copies of regional research, fostering a sense of local pride and accessibility.</w:t>
      </w:r>
    </w:p>
    <w:p>
      <w:pPr>
        <w:pStyle w:val="FirstParagraph"/>
      </w:pPr>
      <w:r>
        <w:t xml:space="preserve">The Librarian's approach to collection management demonstrates a keen understanding of the specific informational needs of users in</w:t>
      </w:r>
      <w:r>
        <w:t xml:space="preserve"> </w:t>
      </w:r>
      <w:r>
        <w:rPr>
          <w:bCs/>
          <w:b/>
        </w:rPr>
        <w:t xml:space="preserve">Qatar Doha</w:t>
      </w:r>
      <w:r>
        <w:t xml:space="preserve">, balancing international trends with local relevance.</w:t>
      </w:r>
    </w:p>
    <w:bookmarkEnd w:id="22"/>
    <w:bookmarkStart w:id="23" w:name="user-services-and-community-engagement"/>
    <w:p>
      <w:pPr>
        <w:pStyle w:val="Heading2"/>
      </w:pPr>
      <w:r>
        <w:t xml:space="preserve">3. User Services and Community Engagement</w:t>
      </w:r>
    </w:p>
    <w:p>
      <w:pPr>
        <w:pStyle w:val="FirstParagraph"/>
      </w:pPr>
      <w:r>
        <w:t xml:space="preserve">In the context of</w:t>
      </w:r>
      <w:r>
        <w:t xml:space="preserve"> </w:t>
      </w:r>
      <w:r>
        <w:rPr>
          <w:bCs/>
          <w:b/>
        </w:rPr>
        <w:t xml:space="preserve">Qatar Doha</w:t>
      </w:r>
      <w:r>
        <w:t xml:space="preserve">, libraries serve as vital community hubs. This</w:t>
      </w:r>
      <w:r>
        <w:t xml:space="preserve"> </w:t>
      </w:r>
      <w:r>
        <w:rPr>
          <w:bCs/>
          <w:b/>
        </w:rPr>
        <w:t xml:space="preserve">Peer Review Report</w:t>
      </w:r>
      <w:r>
        <w:t xml:space="preserve"> </w:t>
      </w:r>
      <w:r>
        <w:t xml:space="preserve">highlights the Librarian's proactive role in bridging the gap between information resources and the public. The Librarian has been instrumental in organizing workshops on digital literacy and research skills, catering to students, academics, and the general public.</w:t>
      </w:r>
    </w:p>
    <w:p>
      <w:pPr>
        <w:pStyle w:val="BodyText"/>
      </w:pPr>
      <w:r>
        <w:rPr>
          <w:bCs/>
          <w:b/>
        </w:rPr>
        <w:t xml:space="preserve">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Previous Period</w:t>
            </w:r>
          </w:p>
        </w:tc>
        <w:tc>
          <w:tcPr/>
          <w:p>
            <w:pPr>
              <w:pStyle w:val="Compact"/>
              <w:jc w:val="left"/>
            </w:pPr>
            <w:r>
              <w:t xml:space="preserve">Current Period</w:t>
            </w:r>
          </w:p>
        </w:tc>
        <w:tc>
          <w:tcPr/>
          <w:p>
            <w:pPr>
              <w:pStyle w:val="Compact"/>
              <w:jc w:val="left"/>
            </w:pPr>
            <w:r>
              <w:t xml:space="preserve">Change</w:t>
            </w:r>
          </w:p>
        </w:tc>
      </w:tr>
      <w:tr>
        <w:tc>
          <w:tcPr/>
          <w:p>
            <w:pPr>
              <w:pStyle w:val="Compact"/>
              <w:jc w:val="left"/>
            </w:pPr>
            <w:r>
              <w:t xml:space="preserve">User Satisfaction Score</w:t>
            </w:r>
          </w:p>
        </w:tc>
        <w:tc>
          <w:tcPr/>
          <w:p>
            <w:pPr>
              <w:pStyle w:val="Compact"/>
              <w:jc w:val="left"/>
            </w:pPr>
            <w:r>
              <w:t xml:space="preserve">4.2 / 5.0</w:t>
            </w:r>
          </w:p>
        </w:tc>
        <w:tc>
          <w:tcPr/>
          <w:p>
            <w:pPr>
              <w:pStyle w:val="Compact"/>
              <w:jc w:val="left"/>
            </w:pPr>
            <w:r>
              <w:t xml:space="preserve">4.7 / 5.0</w:t>
            </w:r>
          </w:p>
        </w:tc>
        <w:tc>
          <w:tcPr/>
          <w:p>
            <w:pPr>
              <w:pStyle w:val="Compact"/>
              <w:jc w:val="left"/>
            </w:pPr>
            <w:r>
              <w:t xml:space="preserve">+11.9%</w:t>
            </w:r>
          </w:p>
        </w:tc>
      </w:tr>
      <w:tr>
        <w:tc>
          <w:tcPr/>
          <w:p>
            <w:pPr>
              <w:pStyle w:val="Compact"/>
              <w:jc w:val="left"/>
            </w:pPr>
            <w:r>
              <w:t xml:space="preserve">Workshops Conducted</w:t>
            </w:r>
          </w:p>
        </w:tc>
        <w:tc>
          <w:tcPr/>
          <w:p>
            <w:pPr>
              <w:pStyle w:val="Compact"/>
              <w:jc w:val="left"/>
            </w:pPr>
            <w:r>
              <w:t xml:space="preserve">8</w:t>
            </w:r>
          </w:p>
        </w:tc>
        <w:tc>
          <w:tcPr/>
          <w:p>
            <w:pPr>
              <w:pStyle w:val="Compact"/>
              <w:jc w:val="left"/>
            </w:pPr>
            <w:r>
              <w:t xml:space="preserve">14</w:t>
            </w:r>
          </w:p>
        </w:tc>
        <w:tc>
          <w:tcPr/>
          <w:p>
            <w:pPr>
              <w:pStyle w:val="Compact"/>
              <w:jc w:val="left"/>
            </w:pPr>
            <w:r>
              <w:t xml:space="preserve">+75%</w:t>
            </w:r>
          </w:p>
        </w:tc>
      </w:tr>
      <w:tr>
        <w:tc>
          <w:tcPr/>
          <w:p>
            <w:pPr>
              <w:pStyle w:val="Compact"/>
              <w:jc w:val="left"/>
            </w:pPr>
            <w:r>
              <w:t xml:space="preserve">Reference Queries Resolved</w:t>
            </w:r>
          </w:p>
        </w:tc>
        <w:tc>
          <w:tcPr/>
          <w:p>
            <w:pPr>
              <w:pStyle w:val="Compact"/>
              <w:jc w:val="left"/>
            </w:pPr>
            <w:r>
              <w:t xml:space="preserve">450</w:t>
            </w:r>
          </w:p>
        </w:tc>
        <w:tc>
          <w:tcPr/>
          <w:p>
            <w:pPr>
              <w:pStyle w:val="Compact"/>
              <w:jc w:val="left"/>
            </w:pPr>
            <w:r>
              <w:t xml:space="preserve">620</w:t>
            </w:r>
          </w:p>
        </w:tc>
        <w:tc>
          <w:tcPr/>
          <w:p>
            <w:pPr>
              <w:pStyle w:val="Compact"/>
              <w:jc w:val="left"/>
            </w:pPr>
            <w:r>
              <w:t xml:space="preserve">+37.7%</w:t>
            </w:r>
          </w:p>
        </w:tc>
      </w:tr>
    </w:tbl>
    <w:p>
      <w:pPr>
        <w:pStyle w:val="BodyText"/>
      </w:pPr>
      <w:r>
        <w:t xml:space="preserve">The Librarian's ability to communicate effectively in both English and Arabic has been a significant asset, ensuring inclusivity and accessibility for all patrons in Doha. Feedback indicates that users feel more empowered to utilize library resources due to the personalized guidance provided.</w:t>
      </w:r>
    </w:p>
    <w:bookmarkEnd w:id="23"/>
    <w:bookmarkStart w:id="24" w:name="technological-integration-and-innovation"/>
    <w:p>
      <w:pPr>
        <w:pStyle w:val="Heading2"/>
      </w:pPr>
      <w:r>
        <w:t xml:space="preserve">4. Technological Integration and Innovation</w:t>
      </w:r>
    </w:p>
    <w:p>
      <w:pPr>
        <w:pStyle w:val="FirstParagraph"/>
      </w:pPr>
      <w:r>
        <w:t xml:space="preserve">As</w:t>
      </w:r>
      <w:r>
        <w:t xml:space="preserve"> </w:t>
      </w:r>
      <w:r>
        <w:rPr>
          <w:bCs/>
          <w:b/>
        </w:rPr>
        <w:t xml:space="preserve">Qatar Doha</w:t>
      </w:r>
      <w:r>
        <w:t xml:space="preserve"> </w:t>
      </w:r>
      <w:r>
        <w:t xml:space="preserve">advances towards a smart city infrastructure, the role of the</w:t>
      </w:r>
      <w:r>
        <w:t xml:space="preserve"> </w:t>
      </w:r>
      <w:r>
        <w:rPr>
          <w:bCs/>
          <w:b/>
        </w:rPr>
        <w:t xml:space="preserve">Librarian</w:t>
      </w:r>
      <w:r>
        <w:t xml:space="preserve"> </w:t>
      </w:r>
      <w:r>
        <w:t xml:space="preserve">has evolved to include significant technological oversight. This</w:t>
      </w:r>
      <w:r>
        <w:t xml:space="preserve"> </w:t>
      </w:r>
      <w:r>
        <w:rPr>
          <w:bCs/>
          <w:b/>
        </w:rPr>
        <w:t xml:space="preserve">Peer Review Report</w:t>
      </w:r>
      <w:r>
        <w:t xml:space="preserve"> </w:t>
      </w:r>
      <w:r>
        <w:t xml:space="preserve">commends the Librarian for leading the migration of the library's cataloging system to a cloud-based platform, improving search functionality and remote access capabilities.</w:t>
      </w:r>
    </w:p>
    <w:p>
      <w:pPr>
        <w:pStyle w:val="BodyText"/>
      </w:pPr>
      <w:r>
        <w:t xml:space="preserve">Furthermore, the Librarian introduced AI-driven recommendation tools to help users discover relevant materials. This initiative aligns with the broader national goals of digital innovation. The successful integration of these tools without disrupting daily operations showcases the Librarian's technical proficiency and project management skills.</w:t>
      </w:r>
    </w:p>
    <w:bookmarkEnd w:id="24"/>
    <w:bookmarkStart w:id="25" w:name="professionalism-and-cultural-competence"/>
    <w:p>
      <w:pPr>
        <w:pStyle w:val="Heading2"/>
      </w:pPr>
      <w:r>
        <w:t xml:space="preserve">5. Professionalism and Cultural Competence</w:t>
      </w:r>
    </w:p>
    <w:p>
      <w:pPr>
        <w:pStyle w:val="FirstParagraph"/>
      </w:pPr>
      <w:r>
        <w:t xml:space="preserve">Working in</w:t>
      </w:r>
      <w:r>
        <w:t xml:space="preserve"> </w:t>
      </w:r>
      <w:r>
        <w:rPr>
          <w:bCs/>
          <w:b/>
        </w:rPr>
        <w:t xml:space="preserve">Qatar Doha</w:t>
      </w:r>
      <w:r>
        <w:t xml:space="preserve"> </w:t>
      </w:r>
      <w:r>
        <w:t xml:space="preserve">requires a high degree of cultural sensitivity and professionalism. The Librarian has consistently adhered to the ethical standards of library science while respecting local customs and regulations. This</w:t>
      </w:r>
      <w:r>
        <w:t xml:space="preserve"> </w:t>
      </w:r>
      <w:r>
        <w:rPr>
          <w:bCs/>
          <w:b/>
        </w:rPr>
        <w:t xml:space="preserve">Peer Review Report</w:t>
      </w:r>
      <w:r>
        <w:t xml:space="preserve"> </w:t>
      </w:r>
      <w:r>
        <w:t xml:space="preserve">notes the Librarian's exemplary conduct in handling sensitive inquiries and maintaining a welcoming environment for a multicultural workforce and patron base.</w:t>
      </w:r>
    </w:p>
    <w:p>
      <w:pPr>
        <w:pStyle w:val="BodyText"/>
      </w:pPr>
      <w:r>
        <w:t xml:space="preserve">The Librarian actively participates in regional library associations and conferences, representing the institution positively and bringing back valuable insights to enhance local practices. This commitment to continuous professional development is highly valued.</w:t>
      </w:r>
    </w:p>
    <w:bookmarkEnd w:id="25"/>
    <w:bookmarkStart w:id="26" w:name="areas-for-improvement"/>
    <w:p>
      <w:pPr>
        <w:pStyle w:val="Heading2"/>
      </w:pPr>
      <w:r>
        <w:t xml:space="preserve">6. Areas for Improvement</w:t>
      </w:r>
    </w:p>
    <w:p>
      <w:pPr>
        <w:pStyle w:val="FirstParagraph"/>
      </w:pPr>
      <w:r>
        <w:t xml:space="preserve">While the performance has been outstanding, this</w:t>
      </w:r>
      <w:r>
        <w:t xml:space="preserve"> </w:t>
      </w:r>
      <w:r>
        <w:rPr>
          <w:bCs/>
          <w:b/>
        </w:rPr>
        <w:t xml:space="preserve">Peer Review Report</w:t>
      </w:r>
      <w:r>
        <w:t xml:space="preserve"> </w:t>
      </w:r>
      <w:r>
        <w:t xml:space="preserve">identifies a few areas for future growth:</w:t>
      </w:r>
    </w:p>
    <w:p>
      <w:pPr>
        <w:numPr>
          <w:ilvl w:val="0"/>
          <w:numId w:val="1002"/>
        </w:numPr>
        <w:pStyle w:val="Compact"/>
      </w:pPr>
      <w:r>
        <w:rPr>
          <w:bCs/>
          <w:b/>
        </w:rPr>
        <w:t xml:space="preserve">Data Analytics:</w:t>
      </w:r>
      <w:r>
        <w:t xml:space="preserve"> </w:t>
      </w:r>
      <w:r>
        <w:t xml:space="preserve">Deepen the use of user data analytics to predict future collection needs more accurately.</w:t>
      </w:r>
    </w:p>
    <w:p>
      <w:pPr>
        <w:numPr>
          <w:ilvl w:val="0"/>
          <w:numId w:val="1002"/>
        </w:numPr>
        <w:pStyle w:val="Compact"/>
      </w:pPr>
      <w:r>
        <w:rPr>
          <w:bCs/>
          <w:b/>
        </w:rPr>
        <w:t xml:space="preserve">Inter-departmental Collaboration:</w:t>
      </w:r>
      <w:r>
        <w:t xml:space="preserve"> </w:t>
      </w:r>
      <w:r>
        <w:t xml:space="preserve">Increase collaboration with other departments in Doha-based institutions to create shared digital resources.</w:t>
      </w:r>
    </w:p>
    <w:p>
      <w:pPr>
        <w:numPr>
          <w:ilvl w:val="0"/>
          <w:numId w:val="1002"/>
        </w:numPr>
        <w:pStyle w:val="Compact"/>
      </w:pPr>
      <w:r>
        <w:rPr>
          <w:bCs/>
          <w:b/>
        </w:rPr>
        <w:t xml:space="preserve">Staff Mentorship:</w:t>
      </w:r>
      <w:r>
        <w:t xml:space="preserve"> </w:t>
      </w:r>
      <w:r>
        <w:t xml:space="preserve">Formalize a mentorship program for junior staff to disseminate the Librarian's expertise more broadly.</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a vital asset to the library system in</w:t>
      </w:r>
      <w:r>
        <w:t xml:space="preserve"> </w:t>
      </w:r>
      <w:r>
        <w:rPr>
          <w:bCs/>
          <w:b/>
        </w:rPr>
        <w:t xml:space="preserve">Qatar Doha</w:t>
      </w:r>
      <w:r>
        <w:t xml:space="preserve">. Their contributions to collection development, user engagement, and technological innovation have significantly elevated the quality of services provided. The Librarian's alignment with the cultural and strategic goals of the region demonstrates a high level of professional maturity.</w:t>
      </w:r>
    </w:p>
    <w:p>
      <w:pPr>
        <w:pStyle w:val="BodyText"/>
      </w:pPr>
      <w:r>
        <w:rPr>
          <w:bCs/>
          <w:b/>
        </w:rPr>
        <w:t xml:space="preserve">Recommendation:</w:t>
      </w:r>
      <w:r>
        <w:t xml:space="preserve"> </w:t>
      </w:r>
      <w:r>
        <w:t xml:space="preserve">It is recommended that the Librarian be considered for a leadership role in upcoming strategic planning initiatives and that their performance be recognized with a formal commendation. Continued support for their professional development is advised to sustain this high level of excellence.</w:t>
      </w:r>
    </w:p>
    <w:bookmarkEnd w:id="27"/>
    <w:p>
      <w:pPr>
        <w:pStyle w:val="BodyText"/>
      </w:pPr>
      <w:r>
        <w:rPr>
          <w:bCs/>
          <w:b/>
        </w:rPr>
        <w:t xml:space="preserve">Reviewer Signature:</w:t>
      </w:r>
    </w:p>
    <w:p>
      <w:pPr>
        <w:pStyle w:val="BodyText"/>
      </w:pPr>
      <w:r>
        <w:t xml:space="preserve">[Name of Senior Librarian]</w:t>
      </w:r>
    </w:p>
    <w:p>
      <w:pPr>
        <w:pStyle w:val="BodyText"/>
      </w:pPr>
      <w:r>
        <w:t xml:space="preserve">Title: Head of Library Services</w:t>
      </w:r>
    </w:p>
    <w:p>
      <w:pPr>
        <w:pStyle w:val="BodyText"/>
      </w:pPr>
      <w:r>
        <w:rPr>
          <w:bCs/>
          <w:b/>
        </w:rPr>
        <w:t xml:space="preserve">Librarian Acknowledgment:</w:t>
      </w:r>
    </w:p>
    <w:p>
      <w:pPr>
        <w:pStyle w:val="BodyText"/>
      </w:pPr>
      <w:r>
        <w:t xml:space="preserve">[Name of Librarian]</w:t>
      </w:r>
    </w:p>
    <w:p>
      <w:pPr>
        <w:pStyle w:val="BodyText"/>
      </w:pPr>
      <w:r>
        <w:t xml:space="preserve">Date: _______________</w:t>
      </w:r>
    </w:p>
    <w:p>
      <w:pPr>
        <w:pStyle w:val="BodyText"/>
      </w:pPr>
      <w:r>
        <w:t xml:space="preserve">© 2023 Library Administration, Qatar Doha. All rights reserved. This document is confidential and intended for internal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2026-10-10T08:02:28Z</dcterms:created>
  <dcterms:modified xsi:type="dcterms:W3CDTF">2026-10-10T08:02:28Z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