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Librarian</w:t>
      </w:r>
    </w:p>
    <w:p>
      <w:pPr>
        <w:pStyle w:val="BodyText"/>
      </w:pPr>
      <w:r>
        <w:rPr>
          <w:bCs/>
          <w:b/>
        </w:rPr>
        <w:t xml:space="preserve">Location:</w:t>
      </w:r>
      <w:r>
        <w:t xml:space="preserve"> </w:t>
      </w:r>
      <w:r>
        <w:t xml:space="preserve">Manchester, United Kingdom</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p>
    <w:p>
      <w:pPr>
        <w:pStyle w:val="BodyText"/>
      </w:pPr>
      <w:r>
        <w:rPr>
          <w:bCs/>
          <w:b/>
        </w:rPr>
        <w:t xml:space="preserve">Reviewing Body:</w:t>
      </w:r>
      <w:r>
        <w:t xml:space="preserve"> </w:t>
      </w:r>
      <w:r>
        <w:t xml:space="preserve">Manchester Library Services Peer Panel</w:t>
      </w:r>
      <w:r>
        <w:br/>
      </w:r>
      <w:r>
        <w:rPr>
          <w:bCs/>
          <w:b/>
        </w:rPr>
        <w:t xml:space="preserve">Document Ref:</w:t>
      </w:r>
      <w:r>
        <w:t xml:space="preserve"> </w:t>
      </w:r>
      <w:r>
        <w:t xml:space="preserve">MCR-LIB-PR-2023-089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professional standards set by the Chartered Institute of Library and Information Professionals (CILIP) and the specific operational guidelines of the Manchester City Council Library Service. The purpose of this review is to evaluate the professional practice, service delivery, and community engagement strategies of the</w:t>
      </w:r>
      <w:r>
        <w:t xml:space="preserve"> </w:t>
      </w:r>
      <w:r>
        <w:rPr>
          <w:bCs/>
          <w:b/>
        </w:rPr>
        <w:t xml:space="preserve">Librarian</w:t>
      </w:r>
      <w:r>
        <w:t xml:space="preserve"> </w:t>
      </w:r>
      <w:r>
        <w:t xml:space="preserve">based in the</w:t>
      </w:r>
      <w:r>
        <w:t xml:space="preserve"> </w:t>
      </w:r>
      <w:r>
        <w:rPr>
          <w:bCs/>
          <w:b/>
        </w:rPr>
        <w:t xml:space="preserve">United Kingdom Manchester</w:t>
      </w:r>
      <w:r>
        <w:t xml:space="preserve"> </w:t>
      </w:r>
      <w:r>
        <w:t xml:space="preserve">branch.</w:t>
      </w:r>
    </w:p>
    <w:p>
      <w:pPr>
        <w:pStyle w:val="BodyText"/>
      </w:pPr>
      <w:r>
        <w:t xml:space="preserve">The review highlights a strong commitment to modernising library services to meet the diverse needs of Manchester’s multicultural population. The</w:t>
      </w:r>
      <w:r>
        <w:t xml:space="preserve"> </w:t>
      </w:r>
      <w:r>
        <w:rPr>
          <w:bCs/>
          <w:b/>
        </w:rPr>
        <w:t xml:space="preserve">Librarian</w:t>
      </w:r>
      <w:r>
        <w:t xml:space="preserve"> </w:t>
      </w:r>
      <w:r>
        <w:t xml:space="preserve">has demonstrated exceptional adaptability in integrating digital resources with traditional collections, ensuring the library remains a vital hub for education, leisure, and social inclusion within the city.</w:t>
      </w:r>
    </w:p>
    <w:bookmarkEnd w:id="21"/>
    <w:bookmarkStart w:id="22" w:name="context-and-methodology"/>
    <w:p>
      <w:pPr>
        <w:pStyle w:val="Heading2"/>
      </w:pPr>
      <w:r>
        <w:t xml:space="preserve">2. Context and Methodology</w:t>
      </w:r>
    </w:p>
    <w:p>
      <w:pPr>
        <w:pStyle w:val="FirstParagraph"/>
      </w:pPr>
      <w:r>
        <w:t xml:space="preserve">The review process involved a comprehensive analysis of service metrics, stakeholder interviews, and direct observation of daily operations. Given the dynamic nature of the</w:t>
      </w:r>
      <w:r>
        <w:t xml:space="preserve"> </w:t>
      </w:r>
      <w:r>
        <w:rPr>
          <w:bCs/>
          <w:b/>
        </w:rPr>
        <w:t xml:space="preserve">United Kingdom Manchester</w:t>
      </w:r>
      <w:r>
        <w:t xml:space="preserve"> </w:t>
      </w:r>
      <w:r>
        <w:t xml:space="preserve">area, particular attention was paid to how the</w:t>
      </w:r>
      <w:r>
        <w:t xml:space="preserve"> </w:t>
      </w:r>
      <w:r>
        <w:rPr>
          <w:bCs/>
          <w:b/>
        </w:rPr>
        <w:t xml:space="preserve">Librarian</w:t>
      </w:r>
      <w:r>
        <w:t xml:space="preserve"> </w:t>
      </w:r>
      <w:r>
        <w:t xml:space="preserve">addresses local challenges such as digital exclusion, literacy rates, and community cohesion.</w:t>
      </w:r>
    </w:p>
    <w:p>
      <w:pPr>
        <w:pStyle w:val="BodyText"/>
      </w:pPr>
      <w:r>
        <w:t xml:space="preserve">Data was gathered from:</w:t>
      </w:r>
    </w:p>
    <w:p>
      <w:pPr>
        <w:numPr>
          <w:ilvl w:val="0"/>
          <w:numId w:val="1001"/>
        </w:numPr>
        <w:pStyle w:val="Compact"/>
      </w:pPr>
      <w:r>
        <w:t xml:space="preserve">Direct observation of reference services and user interactions.</w:t>
      </w:r>
    </w:p>
    <w:p>
      <w:pPr>
        <w:numPr>
          <w:ilvl w:val="0"/>
          <w:numId w:val="1001"/>
        </w:numPr>
        <w:pStyle w:val="Compact"/>
      </w:pPr>
      <w:r>
        <w:t xml:space="preserve">Review of collection development policies and acquisition records.</w:t>
      </w:r>
    </w:p>
    <w:p>
      <w:pPr>
        <w:numPr>
          <w:ilvl w:val="0"/>
          <w:numId w:val="1001"/>
        </w:numPr>
        <w:pStyle w:val="Compact"/>
      </w:pPr>
      <w:r>
        <w:t xml:space="preserve">Feedback from local community groups and school partnerships.</w:t>
      </w:r>
    </w:p>
    <w:p>
      <w:pPr>
        <w:numPr>
          <w:ilvl w:val="0"/>
          <w:numId w:val="1001"/>
        </w:numPr>
        <w:pStyle w:val="Compact"/>
      </w:pPr>
      <w:r>
        <w:t xml:space="preserve">Analysis of digital platform usage statistics.</w:t>
      </w:r>
    </w:p>
    <w:bookmarkEnd w:id="22"/>
    <w:bookmarkStart w:id="23" w:name="X3fac57f32e66f423498b51c9e818a528edd7ee8"/>
    <w:p>
      <w:pPr>
        <w:pStyle w:val="Heading2"/>
      </w:pPr>
      <w:r>
        <w:t xml:space="preserve">3. Professional Competence and Collection Management</w:t>
      </w:r>
    </w:p>
    <w:p>
      <w:pPr>
        <w:pStyle w:val="FirstParagraph"/>
      </w:pPr>
      <w:r>
        <w:t xml:space="preserve">The</w:t>
      </w:r>
      <w:r>
        <w:t xml:space="preserve"> </w:t>
      </w:r>
      <w:r>
        <w:rPr>
          <w:bCs/>
          <w:b/>
        </w:rPr>
        <w:t xml:space="preserve">Librarian</w:t>
      </w:r>
      <w:r>
        <w:t xml:space="preserve"> </w:t>
      </w:r>
      <w:r>
        <w:t xml:space="preserve">has exhibited a high level of professional competence in managing the library’s collection. In the context of</w:t>
      </w:r>
      <w:r>
        <w:t xml:space="preserve"> </w:t>
      </w:r>
      <w:r>
        <w:rPr>
          <w:bCs/>
          <w:b/>
        </w:rPr>
        <w:t xml:space="preserve">United Kingdom Manchester</w:t>
      </w:r>
      <w:r>
        <w:t xml:space="preserve">, where cultural diversity is a defining characteristic, the collection development strategy has been notably inclusive. The</w:t>
      </w:r>
      <w:r>
        <w:t xml:space="preserve"> </w:t>
      </w:r>
      <w:r>
        <w:rPr>
          <w:bCs/>
          <w:b/>
        </w:rPr>
        <w:t xml:space="preserve">Librarian</w:t>
      </w:r>
      <w:r>
        <w:t xml:space="preserve"> </w:t>
      </w:r>
      <w:r>
        <w:t xml:space="preserve">has successfully expanded holdings to reflect the linguistic and cultural backgrounds of local residents, including increased resources in languages such as Urdu, Polish, and Arabic.</w:t>
      </w:r>
    </w:p>
    <w:p>
      <w:pPr>
        <w:pStyle w:val="BodyText"/>
      </w:pPr>
      <w:r>
        <w:t xml:space="preserve">Furthermore, the</w:t>
      </w:r>
      <w:r>
        <w:t xml:space="preserve"> </w:t>
      </w:r>
      <w:r>
        <w:rPr>
          <w:bCs/>
          <w:b/>
        </w:rPr>
        <w:t xml:space="preserve">Librarian</w:t>
      </w:r>
      <w:r>
        <w:t xml:space="preserve"> </w:t>
      </w:r>
      <w:r>
        <w:t xml:space="preserve">has effectively balanced physical acquisitions with digital subscriptions, ensuring patrons have access to e-books, audiobooks, and online databases. This dual approach aligns with the national trends in UK library services while addressing the specific socioeconomic needs of Manchester’s population.</w:t>
      </w:r>
    </w:p>
    <w:bookmarkEnd w:id="23"/>
    <w:bookmarkStart w:id="24" w:name="community-engagement-and-outreach"/>
    <w:p>
      <w:pPr>
        <w:pStyle w:val="Heading2"/>
      </w:pPr>
      <w:r>
        <w:t xml:space="preserve">4. Community Engagement and Outreach</w:t>
      </w:r>
    </w:p>
    <w:p>
      <w:pPr>
        <w:pStyle w:val="FirstParagraph"/>
      </w:pPr>
      <w:r>
        <w:t xml:space="preserve">A key strength identified in this</w:t>
      </w:r>
      <w:r>
        <w:t xml:space="preserve"> </w:t>
      </w:r>
      <w:r>
        <w:rPr>
          <w:bCs/>
          <w:b/>
        </w:rPr>
        <w:t xml:space="preserve">Peer Review Report</w:t>
      </w:r>
      <w:r>
        <w:t xml:space="preserve"> </w:t>
      </w:r>
      <w:r>
        <w:t xml:space="preserve">is the</w:t>
      </w:r>
      <w:r>
        <w:t xml:space="preserve"> </w:t>
      </w:r>
      <w:r>
        <w:rPr>
          <w:bCs/>
          <w:b/>
        </w:rPr>
        <w:t xml:space="preserve">Librarian</w:t>
      </w:r>
      <w:r>
        <w:t xml:space="preserve">’s proactive approach to community engagement. The library in</w:t>
      </w:r>
      <w:r>
        <w:t xml:space="preserve"> </w:t>
      </w:r>
      <w:r>
        <w:rPr>
          <w:bCs/>
          <w:b/>
        </w:rPr>
        <w:t xml:space="preserve">United Kingdom Manchester</w:t>
      </w:r>
      <w:r>
        <w:t xml:space="preserve"> </w:t>
      </w:r>
      <w:r>
        <w:t xml:space="preserve">serves not only as a repository of information but as a community centre. The</w:t>
      </w:r>
      <w:r>
        <w:t xml:space="preserve"> </w:t>
      </w:r>
      <w:r>
        <w:rPr>
          <w:bCs/>
          <w:b/>
        </w:rPr>
        <w:t xml:space="preserve">Librarian</w:t>
      </w:r>
      <w:r>
        <w:t xml:space="preserve"> </w:t>
      </w:r>
      <w:r>
        <w:t xml:space="preserve">has initiated several successful outreach programmes, including:</w:t>
      </w:r>
    </w:p>
    <w:p>
      <w:pPr>
        <w:numPr>
          <w:ilvl w:val="0"/>
          <w:numId w:val="1002"/>
        </w:numPr>
        <w:pStyle w:val="Compact"/>
      </w:pPr>
      <w:r>
        <w:rPr>
          <w:bCs/>
          <w:b/>
        </w:rPr>
        <w:t xml:space="preserve">Digital Literacy Workshops:</w:t>
      </w:r>
      <w:r>
        <w:t xml:space="preserve"> </w:t>
      </w:r>
      <w:r>
        <w:t xml:space="preserve">Targeted at older adults and unemployed individuals to bridge the digital divide.</w:t>
      </w:r>
    </w:p>
    <w:p>
      <w:pPr>
        <w:numPr>
          <w:ilvl w:val="0"/>
          <w:numId w:val="1002"/>
        </w:numPr>
        <w:pStyle w:val="Compact"/>
      </w:pPr>
      <w:r>
        <w:rPr>
          <w:bCs/>
          <w:b/>
        </w:rPr>
        <w:t xml:space="preserve">Children’s Storytime and Literacy Clubs:</w:t>
      </w:r>
      <w:r>
        <w:t xml:space="preserve"> </w:t>
      </w:r>
      <w:r>
        <w:t xml:space="preserve">Collaborating with local schools to promote early reading skills.</w:t>
      </w:r>
    </w:p>
    <w:p>
      <w:pPr>
        <w:numPr>
          <w:ilvl w:val="0"/>
          <w:numId w:val="1002"/>
        </w:numPr>
        <w:pStyle w:val="Compact"/>
      </w:pPr>
      <w:r>
        <w:rPr>
          <w:bCs/>
          <w:b/>
        </w:rPr>
        <w:t xml:space="preserve">Local History Projects:</w:t>
      </w:r>
      <w:r>
        <w:t xml:space="preserve"> </w:t>
      </w:r>
      <w:r>
        <w:t xml:space="preserve">Engaging residents in preserving and sharing Manchester’s rich industrial heritage.</w:t>
      </w:r>
    </w:p>
    <w:p>
      <w:pPr>
        <w:pStyle w:val="FirstParagraph"/>
      </w:pPr>
      <w:r>
        <w:t xml:space="preserve">These initiatives have significantly increased footfall and fostered a sense of belonging among diverse community groups.</w:t>
      </w:r>
    </w:p>
    <w:bookmarkEnd w:id="24"/>
    <w:bookmarkStart w:id="25" w:name="digital-transformation-and-innovation"/>
    <w:p>
      <w:pPr>
        <w:pStyle w:val="Heading2"/>
      </w:pPr>
      <w:r>
        <w:t xml:space="preserve">5. Digital Transformation and Innovation</w:t>
      </w:r>
    </w:p>
    <w:p>
      <w:pPr>
        <w:pStyle w:val="FirstParagraph"/>
      </w:pPr>
      <w:r>
        <w:t xml:space="preserve">The</w:t>
      </w:r>
      <w:r>
        <w:t xml:space="preserve"> </w:t>
      </w:r>
      <w:r>
        <w:rPr>
          <w:bCs/>
          <w:b/>
        </w:rPr>
        <w:t xml:space="preserve">Librarian</w:t>
      </w:r>
      <w:r>
        <w:t xml:space="preserve"> </w:t>
      </w:r>
      <w:r>
        <w:t xml:space="preserve">has been instrumental in driving digital transformation within the branch. Recognising the importance of technology in modern library services, the</w:t>
      </w:r>
      <w:r>
        <w:t xml:space="preserve"> </w:t>
      </w:r>
      <w:r>
        <w:rPr>
          <w:bCs/>
          <w:b/>
        </w:rPr>
        <w:t xml:space="preserve">Librarian</w:t>
      </w:r>
      <w:r>
        <w:t xml:space="preserve"> </w:t>
      </w:r>
      <w:r>
        <w:t xml:space="preserve">has implemented user-friendly self-service kiosks and improved the online catalogue interface. Additionally, the</w:t>
      </w:r>
      <w:r>
        <w:t xml:space="preserve"> </w:t>
      </w:r>
      <w:r>
        <w:rPr>
          <w:bCs/>
          <w:b/>
        </w:rPr>
        <w:t xml:space="preserve">Librarian</w:t>
      </w:r>
      <w:r>
        <w:t xml:space="preserve"> </w:t>
      </w:r>
      <w:r>
        <w:t xml:space="preserve">has promoted the use of Manchester’s digital library services, ensuring that residents can access resources remotely.</w:t>
      </w:r>
    </w:p>
    <w:p>
      <w:pPr>
        <w:pStyle w:val="BodyText"/>
      </w:pPr>
      <w:r>
        <w:t xml:space="preserve">This focus on innovation is particularly relevant in</w:t>
      </w:r>
      <w:r>
        <w:t xml:space="preserve"> </w:t>
      </w:r>
      <w:r>
        <w:rPr>
          <w:bCs/>
          <w:b/>
        </w:rPr>
        <w:t xml:space="preserve">United Kingdom Manchester</w:t>
      </w:r>
      <w:r>
        <w:t xml:space="preserve">, a city known for its tech sector and forward-thinking approach to public services. The</w:t>
      </w:r>
      <w:r>
        <w:t xml:space="preserve"> </w:t>
      </w:r>
      <w:r>
        <w:rPr>
          <w:bCs/>
          <w:b/>
        </w:rPr>
        <w:t xml:space="preserve">Librarian</w:t>
      </w:r>
      <w:r>
        <w:t xml:space="preserve">’s efforts have positioned the library as a modern, accessible, and technologically advanced institution.</w:t>
      </w:r>
    </w:p>
    <w:bookmarkEnd w:id="25"/>
    <w:bookmarkStart w:id="26" w:name="areas-for-improvement"/>
    <w:p>
      <w:pPr>
        <w:pStyle w:val="Heading2"/>
      </w:pPr>
      <w:r>
        <w:t xml:space="preserve">6. Areas for Improvement</w:t>
      </w:r>
    </w:p>
    <w:p>
      <w:pPr>
        <w:pStyle w:val="FirstParagraph"/>
      </w:pPr>
      <w:r>
        <w:t xml:space="preserve">While the</w:t>
      </w:r>
      <w:r>
        <w:t xml:space="preserve"> </w:t>
      </w:r>
      <w:r>
        <w:rPr>
          <w:bCs/>
          <w:b/>
        </w:rPr>
        <w:t xml:space="preserve">Librarian</w:t>
      </w:r>
      <w:r>
        <w:t xml:space="preserve"> </w:t>
      </w:r>
      <w:r>
        <w:t xml:space="preserve">has performed admirably, this</w:t>
      </w:r>
      <w:r>
        <w:t xml:space="preserve"> </w:t>
      </w:r>
      <w:r>
        <w:rPr>
          <w:bCs/>
          <w:b/>
        </w:rPr>
        <w:t xml:space="preserve">Peer Review Report</w:t>
      </w:r>
      <w:r>
        <w:t xml:space="preserve"> </w:t>
      </w:r>
      <w:r>
        <w:t xml:space="preserve">identifies a few areas for potential enhancement:</w:t>
      </w:r>
    </w:p>
    <w:p>
      <w:pPr>
        <w:numPr>
          <w:ilvl w:val="0"/>
          <w:numId w:val="1003"/>
        </w:numPr>
        <w:pStyle w:val="Compact"/>
      </w:pPr>
      <w:r>
        <w:rPr>
          <w:bCs/>
          <w:b/>
        </w:rPr>
        <w:t xml:space="preserve">Staff Training:</w:t>
      </w:r>
      <w:r>
        <w:t xml:space="preserve"> </w:t>
      </w:r>
      <w:r>
        <w:t xml:space="preserve">Further investment in training library staff on emerging technologies and customer service best practices.</w:t>
      </w:r>
    </w:p>
    <w:p>
      <w:pPr>
        <w:numPr>
          <w:ilvl w:val="0"/>
          <w:numId w:val="1003"/>
        </w:numPr>
        <w:pStyle w:val="Compact"/>
      </w:pPr>
      <w:r>
        <w:rPr>
          <w:bCs/>
          <w:b/>
        </w:rPr>
        <w:t xml:space="preserve">Marketing and Visibility:</w:t>
      </w:r>
      <w:r>
        <w:t xml:space="preserve"> </w:t>
      </w:r>
      <w:r>
        <w:t xml:space="preserve">Increasing the visibility of library services through targeted social media campaigns and local partnerships.</w:t>
      </w:r>
    </w:p>
    <w:p>
      <w:pPr>
        <w:numPr>
          <w:ilvl w:val="0"/>
          <w:numId w:val="1003"/>
        </w:numPr>
        <w:pStyle w:val="Compact"/>
      </w:pPr>
      <w:r>
        <w:rPr>
          <w:bCs/>
          <w:b/>
        </w:rPr>
        <w:t xml:space="preserve">Accessibility:</w:t>
      </w:r>
      <w:r>
        <w:t xml:space="preserve"> </w:t>
      </w:r>
      <w:r>
        <w:t xml:space="preserve">Ensuring that all physical and digital resources are fully accessible to individuals with disabilities, in line with UK equality legislation.</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in</w:t>
      </w:r>
      <w:r>
        <w:t xml:space="preserve"> </w:t>
      </w:r>
      <w:r>
        <w:rPr>
          <w:bCs/>
          <w:b/>
        </w:rPr>
        <w:t xml:space="preserve">United Kingdom Manchester</w:t>
      </w:r>
      <w:r>
        <w:t xml:space="preserve"> </w:t>
      </w:r>
      <w:r>
        <w:t xml:space="preserve">is performing at a high professional standard. The</w:t>
      </w:r>
      <w:r>
        <w:t xml:space="preserve"> </w:t>
      </w:r>
      <w:r>
        <w:rPr>
          <w:bCs/>
          <w:b/>
        </w:rPr>
        <w:t xml:space="preserve">Librarian</w:t>
      </w:r>
      <w:r>
        <w:t xml:space="preserve"> </w:t>
      </w:r>
      <w:r>
        <w:t xml:space="preserve">has successfully adapted library services to meet the evolving needs of the community, demonstrating leadership, innovation, and a deep commitment to public service.</w:t>
      </w:r>
    </w:p>
    <w:p>
      <w:pPr>
        <w:pStyle w:val="BodyText"/>
      </w:pPr>
      <w:r>
        <w:t xml:space="preserve">It is recommended that the</w:t>
      </w:r>
      <w:r>
        <w:t xml:space="preserve"> </w:t>
      </w:r>
      <w:r>
        <w:rPr>
          <w:bCs/>
          <w:b/>
        </w:rPr>
        <w:t xml:space="preserve">Librarian</w:t>
      </w:r>
      <w:r>
        <w:t xml:space="preserve"> </w:t>
      </w:r>
      <w:r>
        <w:t xml:space="preserve">continues to prioritise community engagement, digital inclusion, and collection diversity. By addressing the identified areas for improvement, the library can further enhance its role as a cornerstone of Manchester’s cultural and educational landscape.</w:t>
      </w:r>
    </w:p>
    <w:bookmarkEnd w:id="27"/>
    <w:p>
      <w:pPr>
        <w:pStyle w:val="BodyText"/>
      </w:pPr>
      <w:r>
        <w:rPr>
          <w:bCs/>
          <w:b/>
        </w:rPr>
        <w:t xml:space="preserve">Reviewed by:</w:t>
      </w:r>
    </w:p>
    <w:p>
      <w:pPr>
        <w:pStyle w:val="BodyText"/>
      </w:pPr>
      <w:r>
        <w:t xml:space="preserve">Dr. Eleanor Whitfield</w:t>
      </w:r>
      <w:r>
        <w:br/>
      </w:r>
      <w:r>
        <w:t xml:space="preserve">Senior Peer Reviewer</w:t>
      </w:r>
      <w:r>
        <w:br/>
      </w:r>
      <w:r>
        <w:t xml:space="preserve">Manchester Library Services</w:t>
      </w:r>
    </w:p>
    <w:p>
      <w:pPr>
        <w:pStyle w:val="BodyText"/>
      </w:pPr>
      <w:r>
        <w:rPr>
          <w:bCs/>
          <w:b/>
        </w:rPr>
        <w:t xml:space="preserve">Acknowledged by:</w:t>
      </w:r>
    </w:p>
    <w:p>
      <w:pPr>
        <w:pStyle w:val="BodyText"/>
      </w:pPr>
      <w:r>
        <w:t xml:space="preserve">[Librarian Name]</w:t>
      </w:r>
      <w:r>
        <w:br/>
      </w:r>
      <w:r>
        <w:t xml:space="preserve">Librarian</w:t>
      </w:r>
      <w:r>
        <w:br/>
      </w:r>
      <w:r>
        <w:t xml:space="preserve">Manchester Branch</w:t>
      </w:r>
    </w:p>
    <w:p>
      <w:pPr>
        <w:pStyle w:val="BodyText"/>
      </w:pPr>
      <w:r>
        <w:t xml:space="preserve">© 2023 Manchester Library Services.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Manchester, United Kingdom</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