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t xml:space="preserve">Professional Performance Evaluation: Librarian</w:t>
      </w:r>
    </w:p>
    <w:p>
      <w:pPr>
        <w:pStyle w:val="BodyText"/>
      </w:pPr>
      <w:r>
        <w:t xml:space="preserve">Location:</w:t>
      </w:r>
      <w:r>
        <w:t xml:space="preserve"> </w:t>
      </w:r>
      <w:r>
        <w:t xml:space="preserve">Tashkent, Uzbekistan</w:t>
      </w:r>
    </w:p>
    <w:p>
      <w:pPr>
        <w:pStyle w:val="BodyText"/>
      </w:pPr>
      <w:r>
        <w:t xml:space="preserve">Institution:</w:t>
      </w:r>
      <w:r>
        <w:t xml:space="preserve"> </w:t>
      </w:r>
      <w:r>
        <w:t xml:space="preserve">National Library of Uzbekistan / Tashkent State University</w:t>
      </w:r>
    </w:p>
    <w:p>
      <w:pPr>
        <w:pStyle w:val="BodyText"/>
      </w:pPr>
      <w:r>
        <w:t xml:space="preserve">Date of Review:</w:t>
      </w:r>
      <w:r>
        <w:t xml:space="preserve"> </w:t>
      </w:r>
      <w:r>
        <w:t xml:space="preserve">October 24, 2023</w:t>
      </w:r>
    </w:p>
    <w:p>
      <w:pPr>
        <w:pStyle w:val="BodyText"/>
      </w:pPr>
      <w:r>
        <w:t xml:space="preserve">Review Period:</w:t>
      </w:r>
      <w:r>
        <w:t xml:space="preserve"> </w:t>
      </w:r>
      <w:r>
        <w:t xml:space="preserve">Q3 2023</w:t>
      </w:r>
    </w:p>
    <w:p>
      <w:pPr>
        <w:pStyle w:val="BodyText"/>
      </w:pPr>
      <w:r>
        <w:t xml:space="preserve">Reviewer:</w:t>
      </w:r>
      <w:r>
        <w:t xml:space="preserve"> </w:t>
      </w:r>
      <w:r>
        <w:t xml:space="preserve">Senior Information Specialist</w:t>
      </w:r>
    </w:p>
    <w:p>
      <w:pPr>
        <w:pStyle w:val="BodyText"/>
      </w:pPr>
      <w:r>
        <w:t xml:space="preserve">Subject:</w:t>
      </w:r>
      <w:r>
        <w:t xml:space="preserve"> </w:t>
      </w:r>
      <w:r>
        <w:t xml:space="preserve">Librarian (Reference &amp; Digital Services)</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assessment of the professional duties, technical competencies, and service quality provided by the</w:t>
      </w:r>
      <w:r>
        <w:t xml:space="preserve"> </w:t>
      </w:r>
      <w:r>
        <w:rPr>
          <w:bCs/>
          <w:b/>
        </w:rPr>
        <w:t xml:space="preserve">Librarian</w:t>
      </w:r>
      <w:r>
        <w:t xml:space="preserve"> </w:t>
      </w:r>
      <w:r>
        <w:t xml:space="preserve">stationed in</w:t>
      </w:r>
      <w:r>
        <w:t xml:space="preserve"> </w:t>
      </w:r>
      <w:r>
        <w:rPr>
          <w:bCs/>
          <w:b/>
        </w:rPr>
        <w:t xml:space="preserve">Tashkent, Uzbekistan</w:t>
      </w:r>
      <w:r>
        <w:t xml:space="preserve">. The review focuses on the individual's ability to manage information resources, facilitate digital literacy, and support the academic and cultural needs of the local community.</w:t>
      </w:r>
    </w:p>
    <w:p>
      <w:pPr>
        <w:pStyle w:val="BodyText"/>
      </w:pPr>
      <w:r>
        <w:t xml:space="preserve">Given the rapid modernization of information systems in Uzbekistan, the role of the Librarian has evolved significantly. This report evaluates how effectively the subject adapts to these changes, specifically regarding the digitization of archives and the integration of international cataloging standards within the Tashkent municipal library network. Overall, the performance is rated as "Exceeds Expectations" in digital integration and "Meets Expectations" in traditional patron services.</w:t>
      </w:r>
    </w:p>
    <w:bookmarkEnd w:id="21"/>
    <w:bookmarkStart w:id="22" w:name="evaluation-criteria-and-methodology"/>
    <w:p>
      <w:pPr>
        <w:pStyle w:val="Heading2"/>
      </w:pPr>
      <w:r>
        <w:t xml:space="preserve">2. Evaluation Criteria and Methodology</w:t>
      </w:r>
    </w:p>
    <w:p>
      <w:pPr>
        <w:pStyle w:val="FirstParagraph"/>
      </w:pPr>
      <w:r>
        <w:t xml:space="preserve">The assessment was conducted through direct observation, analysis of circulation statistics, and feedback from patrons in Tashkent. The criteria align with the International Federation of Library Associations and Institutions (IFLA) standards, adapted for the specific cultural and linguistic context of Uzbekistan.</w:t>
      </w:r>
    </w:p>
    <w:p>
      <w:pPr>
        <w:numPr>
          <w:ilvl w:val="0"/>
          <w:numId w:val="1001"/>
        </w:numPr>
        <w:pStyle w:val="Compact"/>
      </w:pPr>
      <w:r>
        <w:rPr>
          <w:bCs/>
          <w:b/>
        </w:rPr>
        <w:t xml:space="preserve">Resource Management:</w:t>
      </w:r>
      <w:r>
        <w:t xml:space="preserve"> </w:t>
      </w:r>
      <w:r>
        <w:t xml:space="preserve">Acquisition, cataloging, and preservation of materials.</w:t>
      </w:r>
    </w:p>
    <w:p>
      <w:pPr>
        <w:numPr>
          <w:ilvl w:val="0"/>
          <w:numId w:val="1001"/>
        </w:numPr>
        <w:pStyle w:val="Compact"/>
      </w:pPr>
      <w:r>
        <w:rPr>
          <w:bCs/>
          <w:b/>
        </w:rPr>
        <w:t xml:space="preserve">Information Literacy:</w:t>
      </w:r>
      <w:r>
        <w:t xml:space="preserve"> </w:t>
      </w:r>
      <w:r>
        <w:t xml:space="preserve">Training patrons on database usage and research skills.</w:t>
      </w:r>
    </w:p>
    <w:p>
      <w:pPr>
        <w:numPr>
          <w:ilvl w:val="0"/>
          <w:numId w:val="1001"/>
        </w:numPr>
        <w:pStyle w:val="Compact"/>
      </w:pPr>
      <w:r>
        <w:rPr>
          <w:bCs/>
          <w:b/>
        </w:rPr>
        <w:t xml:space="preserve">Technological Adaptation:</w:t>
      </w:r>
      <w:r>
        <w:t xml:space="preserve"> </w:t>
      </w:r>
      <w:r>
        <w:t xml:space="preserve">Utilization of Library Management Systems (LMS) and e-resources.</w:t>
      </w:r>
    </w:p>
    <w:p>
      <w:pPr>
        <w:numPr>
          <w:ilvl w:val="0"/>
          <w:numId w:val="1001"/>
        </w:numPr>
        <w:pStyle w:val="Compact"/>
      </w:pPr>
      <w:r>
        <w:rPr>
          <w:bCs/>
          <w:b/>
        </w:rPr>
        <w:t xml:space="preserve">Community Engagement:</w:t>
      </w:r>
      <w:r>
        <w:t xml:space="preserve"> </w:t>
      </w:r>
      <w:r>
        <w:t xml:space="preserve">Outreach programs specific to the Tashkent demographic.</w:t>
      </w:r>
    </w:p>
    <w:bookmarkEnd w:id="22"/>
    <w:bookmarkStart w:id="26" w:name="detailed-performance-analysis"/>
    <w:p>
      <w:pPr>
        <w:pStyle w:val="Heading2"/>
      </w:pPr>
      <w:r>
        <w:t xml:space="preserve">3. Detailed Performance Analysis</w:t>
      </w:r>
    </w:p>
    <w:bookmarkStart w:id="23" w:name="cataloging-and-information-organization"/>
    <w:p>
      <w:pPr>
        <w:pStyle w:val="Heading3"/>
      </w:pPr>
      <w:r>
        <w:t xml:space="preserve">3.1. Cataloging and Information Organization</w:t>
      </w:r>
    </w:p>
    <w:p>
      <w:pPr>
        <w:pStyle w:val="FirstParagraph"/>
      </w:pPr>
      <w:r>
        <w:t xml:space="preserve">The</w:t>
      </w:r>
      <w:r>
        <w:t xml:space="preserve"> </w:t>
      </w:r>
      <w:r>
        <w:rPr>
          <w:bCs/>
          <w:b/>
        </w:rPr>
        <w:t xml:space="preserve">Librarian</w:t>
      </w:r>
      <w:r>
        <w:t xml:space="preserve"> </w:t>
      </w:r>
      <w:r>
        <w:t xml:space="preserve">has demonstrated exceptional proficiency in organizing the library's holdings. A key achievement noted during this review period is the successful migration of legacy card catalogs to a modern digital interface. In the context of</w:t>
      </w:r>
      <w:r>
        <w:t xml:space="preserve"> </w:t>
      </w:r>
      <w:r>
        <w:rPr>
          <w:bCs/>
          <w:b/>
        </w:rPr>
        <w:t xml:space="preserve">Tashkent</w:t>
      </w:r>
      <w:r>
        <w:t xml:space="preserve">, where historical preservation is paramount, the Librarian ensured that metadata for rare Uzbek manuscripts was accurately tagged in both Cyrillic and Latin scripts, facilitating access for a broader range of researchers.</w:t>
      </w:r>
    </w:p>
    <w:p>
      <w:pPr>
        <w:pStyle w:val="BodyText"/>
      </w:pPr>
      <w:r>
        <w:t xml:space="preserve">The adherence to MARC21 standards has improved searchability significantly. However, the Peer Review Report notes a minor area for improvement: the consistency of subject headings for non-fiction materials in the English language section requires stricter adherence to Library of Congress Subject Headings (LCSH).</w:t>
      </w:r>
    </w:p>
    <w:bookmarkEnd w:id="23"/>
    <w:bookmarkStart w:id="24" w:name="X128d87582101649d568dc9343800afed52a0f89"/>
    <w:p>
      <w:pPr>
        <w:pStyle w:val="Heading3"/>
      </w:pPr>
      <w:r>
        <w:t xml:space="preserve">3.2. Digital Services and E-Resource Management</w:t>
      </w:r>
    </w:p>
    <w:p>
      <w:pPr>
        <w:pStyle w:val="FirstParagraph"/>
      </w:pPr>
      <w:r>
        <w:t xml:space="preserve">As Uzbekistan pushes for digital transformation, the Librarian's role in managing e-resources is critical. The subject has successfully integrated access to international academic journals and e-book platforms. The Peer Review Report highlights the Librarian's initiative in creating a "Digital Literacy Corner" within the Tashkent branch, where patrons receive training on using online databases.</w:t>
      </w:r>
    </w:p>
    <w:p>
      <w:pPr>
        <w:pStyle w:val="BodyText"/>
      </w:pPr>
      <w:r>
        <w:t xml:space="preserve">This initiative has resulted in a 25% increase in digital resource usage among university students in the region. The Librarian effectively bridges the gap between traditional library services and modern information needs, ensuring that the library remains a relevant hub for knowledge in Tashkent.</w:t>
      </w:r>
    </w:p>
    <w:bookmarkEnd w:id="24"/>
    <w:bookmarkStart w:id="25" w:name="patron-services-and-cultural-competence"/>
    <w:p>
      <w:pPr>
        <w:pStyle w:val="Heading3"/>
      </w:pPr>
      <w:r>
        <w:t xml:space="preserve">3.3. Patron Services and Cultural Competence</w:t>
      </w:r>
    </w:p>
    <w:p>
      <w:pPr>
        <w:pStyle w:val="FirstParagraph"/>
      </w:pPr>
      <w:r>
        <w:t xml:space="preserve">The Librarian exhibits high cultural competence, essential for serving the diverse population of</w:t>
      </w:r>
      <w:r>
        <w:t xml:space="preserve"> </w:t>
      </w:r>
      <w:r>
        <w:rPr>
          <w:bCs/>
          <w:b/>
        </w:rPr>
        <w:t xml:space="preserve">Tashkent, Uzbekistan</w:t>
      </w:r>
      <w:r>
        <w:t xml:space="preserve">. The ability to communicate effectively in Uzbek, Russian, and English allows for inclusive service delivery. Feedback from patrons indicates high satisfaction with the reference desk assistance, particularly regarding research support for graduate students.</w:t>
      </w:r>
    </w:p>
    <w:p>
      <w:pPr>
        <w:pStyle w:val="BodyText"/>
      </w:pPr>
      <w:r>
        <w:t xml:space="preserve">The Librarian has also organized several community events, including book readings and history workshops, which align with the national emphasis on cultural heritage. These efforts have strengthened the library's position as a community center in Tashkent.</w:t>
      </w:r>
    </w:p>
    <w:bookmarkEnd w:id="25"/>
    <w:bookmarkEnd w:id="26"/>
    <w:bookmarkStart w:id="27" w:name="quantitative-assessment"/>
    <w:p>
      <w:pPr>
        <w:pStyle w:val="Heading2"/>
      </w:pPr>
      <w:r>
        <w:t xml:space="preserve">4. Quantitative Assessment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Competency Area</w:t>
            </w:r>
          </w:p>
        </w:tc>
        <w:tc>
          <w:tcPr/>
          <w:p>
            <w:pPr>
              <w:pStyle w:val="Compact"/>
              <w:jc w:val="left"/>
            </w:pPr>
            <w:r>
              <w:t xml:space="preserve">Rating (1-5)</w:t>
            </w:r>
          </w:p>
        </w:tc>
        <w:tc>
          <w:tcPr/>
          <w:p>
            <w:pPr>
              <w:pStyle w:val="Compact"/>
              <w:jc w:val="left"/>
            </w:pPr>
            <w:r>
              <w:t xml:space="preserve">Comments</w:t>
            </w:r>
          </w:p>
        </w:tc>
      </w:tr>
      <w:tr>
        <w:tc>
          <w:tcPr/>
          <w:p>
            <w:pPr>
              <w:pStyle w:val="Compact"/>
              <w:jc w:val="left"/>
            </w:pPr>
            <w:r>
              <w:t xml:space="preserve">Technical Skills (LMS &amp; Cataloging)</w:t>
            </w:r>
          </w:p>
        </w:tc>
        <w:tc>
          <w:tcPr/>
          <w:p>
            <w:pPr>
              <w:pStyle w:val="Compact"/>
              <w:jc w:val="left"/>
            </w:pPr>
            <w:r>
              <w:t xml:space="preserve">5</w:t>
            </w:r>
          </w:p>
        </w:tc>
        <w:tc>
          <w:tcPr/>
          <w:p>
            <w:pPr>
              <w:pStyle w:val="Compact"/>
              <w:jc w:val="left"/>
            </w:pPr>
            <w:r>
              <w:t xml:space="preserve">Excellent mastery of digital tools and metadata standards.</w:t>
            </w:r>
          </w:p>
        </w:tc>
      </w:tr>
      <w:tr>
        <w:tc>
          <w:tcPr/>
          <w:p>
            <w:pPr>
              <w:pStyle w:val="Compact"/>
              <w:jc w:val="left"/>
            </w:pPr>
            <w:r>
              <w:t xml:space="preserve">Reference &amp; Research Support</w:t>
            </w:r>
          </w:p>
        </w:tc>
        <w:tc>
          <w:tcPr/>
          <w:p>
            <w:pPr>
              <w:pStyle w:val="Compact"/>
              <w:jc w:val="left"/>
            </w:pPr>
            <w:r>
              <w:t xml:space="preserve">5</w:t>
            </w:r>
          </w:p>
        </w:tc>
        <w:tc>
          <w:tcPr/>
          <w:p>
            <w:pPr>
              <w:pStyle w:val="Compact"/>
              <w:jc w:val="left"/>
            </w:pPr>
            <w:r>
              <w:t xml:space="preserve">Provides high-quality, accurate information retrieval services.</w:t>
            </w:r>
          </w:p>
        </w:tc>
      </w:tr>
      <w:tr>
        <w:tc>
          <w:tcPr/>
          <w:p>
            <w:pPr>
              <w:pStyle w:val="Compact"/>
              <w:jc w:val="left"/>
            </w:pPr>
            <w:r>
              <w:t xml:space="preserve">Communication &amp; Interpersonal Skills</w:t>
            </w:r>
          </w:p>
        </w:tc>
        <w:tc>
          <w:tcPr/>
          <w:p>
            <w:pPr>
              <w:pStyle w:val="Compact"/>
              <w:jc w:val="left"/>
            </w:pPr>
            <w:r>
              <w:t xml:space="preserve">4</w:t>
            </w:r>
          </w:p>
        </w:tc>
        <w:tc>
          <w:tcPr/>
          <w:p>
            <w:pPr>
              <w:pStyle w:val="Compact"/>
              <w:jc w:val="left"/>
            </w:pPr>
            <w:r>
              <w:t xml:space="preserve">Strong multilingual abilities; very approachable.</w:t>
            </w:r>
          </w:p>
        </w:tc>
      </w:tr>
      <w:tr>
        <w:tc>
          <w:tcPr/>
          <w:p>
            <w:pPr>
              <w:pStyle w:val="Compact"/>
              <w:jc w:val="left"/>
            </w:pPr>
            <w:r>
              <w:t xml:space="preserve">Project Management</w:t>
            </w:r>
          </w:p>
        </w:tc>
        <w:tc>
          <w:tcPr/>
          <w:p>
            <w:pPr>
              <w:pStyle w:val="Compact"/>
              <w:jc w:val="left"/>
            </w:pPr>
            <w:r>
              <w:t xml:space="preserve">3</w:t>
            </w:r>
          </w:p>
        </w:tc>
        <w:tc>
          <w:tcPr/>
          <w:p>
            <w:pPr>
              <w:pStyle w:val="Compact"/>
              <w:jc w:val="left"/>
            </w:pPr>
            <w:r>
              <w:t xml:space="preserve">Good execution, but needs better documentation of project timelines.</w:t>
            </w:r>
          </w:p>
        </w:tc>
      </w:tr>
      <w:tr>
        <w:tc>
          <w:tcPr/>
          <w:p>
            <w:pPr>
              <w:pStyle w:val="Compact"/>
              <w:jc w:val="left"/>
            </w:pPr>
            <w:r>
              <w:t xml:space="preserve">Adaptability to Change</w:t>
            </w:r>
          </w:p>
        </w:tc>
        <w:tc>
          <w:tcPr/>
          <w:p>
            <w:pPr>
              <w:pStyle w:val="Compact"/>
              <w:jc w:val="left"/>
            </w:pPr>
            <w:r>
              <w:t xml:space="preserve">5</w:t>
            </w:r>
          </w:p>
        </w:tc>
        <w:tc>
          <w:tcPr/>
          <w:p>
            <w:pPr>
              <w:pStyle w:val="Compact"/>
              <w:jc w:val="left"/>
            </w:pPr>
            <w:r>
              <w:t xml:space="preserve">Proactively adopts new technologies relevant to Uzbekistan's digital goals.</w:t>
            </w:r>
          </w:p>
        </w:tc>
      </w:tr>
    </w:tbl>
    <w:bookmarkEnd w:id="27"/>
    <w:bookmarkStart w:id="28" w:name="Xda79409093af40bd3d15ed7d2a5582dbca223f1"/>
    <w:p>
      <w:pPr>
        <w:pStyle w:val="Heading2"/>
      </w:pPr>
      <w:r>
        <w:t xml:space="preserve">5. Areas for Improvement and Recommendations</w:t>
      </w:r>
    </w:p>
    <w:p>
      <w:pPr>
        <w:pStyle w:val="FirstParagraph"/>
      </w:pPr>
      <w:r>
        <w:t xml:space="preserve">While the performance of the</w:t>
      </w:r>
      <w:r>
        <w:t xml:space="preserve"> </w:t>
      </w:r>
      <w:r>
        <w:rPr>
          <w:bCs/>
          <w:b/>
        </w:rPr>
        <w:t xml:space="preserve">Librarian</w:t>
      </w:r>
      <w:r>
        <w:t xml:space="preserve"> </w:t>
      </w:r>
      <w:r>
        <w:t xml:space="preserve">is commendable, this</w:t>
      </w:r>
      <w:r>
        <w:t xml:space="preserve"> </w:t>
      </w:r>
      <w:r>
        <w:rPr>
          <w:bCs/>
          <w:b/>
        </w:rPr>
        <w:t xml:space="preserve">Peer Review Report</w:t>
      </w:r>
      <w:r>
        <w:t xml:space="preserve"> </w:t>
      </w:r>
      <w:r>
        <w:t xml:space="preserve">identifies specific areas for professional growth to further enhance the library's impact in</w:t>
      </w:r>
      <w:r>
        <w:t xml:space="preserve"> </w:t>
      </w:r>
      <w:r>
        <w:rPr>
          <w:bCs/>
          <w:b/>
        </w:rPr>
        <w:t xml:space="preserve">Tashkent</w:t>
      </w:r>
      <w:r>
        <w:t xml:space="preserve">.</w:t>
      </w:r>
    </w:p>
    <w:p>
      <w:pPr>
        <w:numPr>
          <w:ilvl w:val="0"/>
          <w:numId w:val="1002"/>
        </w:numPr>
        <w:pStyle w:val="Compact"/>
      </w:pPr>
      <w:r>
        <w:rPr>
          <w:bCs/>
          <w:b/>
        </w:rPr>
        <w:t xml:space="preserve">Advanced Data Analytics:</w:t>
      </w:r>
      <w:r>
        <w:t xml:space="preserve"> </w:t>
      </w:r>
      <w:r>
        <w:t xml:space="preserve">The Librarian should undergo training in library data analytics to better interpret usage statistics. This will help in making data-driven decisions regarding collection development.</w:t>
      </w:r>
    </w:p>
    <w:p>
      <w:pPr>
        <w:numPr>
          <w:ilvl w:val="0"/>
          <w:numId w:val="1002"/>
        </w:numPr>
        <w:pStyle w:val="Compact"/>
      </w:pPr>
      <w:r>
        <w:rPr>
          <w:bCs/>
          <w:b/>
        </w:rPr>
        <w:t xml:space="preserve">Collaborative Networking:</w:t>
      </w:r>
      <w:r>
        <w:t xml:space="preserve"> </w:t>
      </w:r>
      <w:r>
        <w:t xml:space="preserve">It is recommended that the Librarian establish stronger partnerships with other academic institutions in Tashkent to facilitate inter-library loans and resource sharing.</w:t>
      </w:r>
    </w:p>
    <w:p>
      <w:pPr>
        <w:numPr>
          <w:ilvl w:val="0"/>
          <w:numId w:val="1002"/>
        </w:numPr>
        <w:pStyle w:val="Compact"/>
      </w:pPr>
      <w:r>
        <w:rPr>
          <w:bCs/>
          <w:b/>
        </w:rPr>
        <w:t xml:space="preserve">Documentation Standards:</w:t>
      </w:r>
      <w:r>
        <w:t xml:space="preserve"> </w:t>
      </w:r>
      <w:r>
        <w:t xml:space="preserve">Internal processes for cataloging and event planning should be documented more rigorously to ensure continuity and ease of training for junior staff.</w:t>
      </w:r>
    </w:p>
    <w:bookmarkEnd w:id="28"/>
    <w:bookmarkStart w:id="29" w:name="conclusion"/>
    <w:p>
      <w:pPr>
        <w:pStyle w:val="Heading2"/>
      </w:pPr>
      <w:r>
        <w:t xml:space="preserve">6. Conclusion</w:t>
      </w:r>
    </w:p>
    <w:p>
      <w:pPr>
        <w:pStyle w:val="FirstParagraph"/>
      </w:pPr>
      <w:r>
        <w:t xml:space="preserve">In conclusion, the</w:t>
      </w:r>
      <w:r>
        <w:t xml:space="preserve"> </w:t>
      </w:r>
      <w:r>
        <w:rPr>
          <w:bCs/>
          <w:b/>
        </w:rPr>
        <w:t xml:space="preserve">Librarian</w:t>
      </w:r>
      <w:r>
        <w:t xml:space="preserve"> </w:t>
      </w:r>
      <w:r>
        <w:t xml:space="preserve">under review has demonstrated a high level of professionalism, technical skill, and dedication to the community of</w:t>
      </w:r>
      <w:r>
        <w:t xml:space="preserve"> </w:t>
      </w:r>
      <w:r>
        <w:rPr>
          <w:bCs/>
          <w:b/>
        </w:rPr>
        <w:t xml:space="preserve">Tashkent, Uzbekistan</w:t>
      </w:r>
      <w:r>
        <w:t xml:space="preserve">. Their efforts in modernizing library services while respecting cultural heritage make them a valuable asset to the institution. This</w:t>
      </w:r>
      <w:r>
        <w:t xml:space="preserve"> </w:t>
      </w:r>
      <w:r>
        <w:rPr>
          <w:bCs/>
          <w:b/>
        </w:rPr>
        <w:t xml:space="preserve">Peer Review Report</w:t>
      </w:r>
      <w:r>
        <w:t xml:space="preserve"> </w:t>
      </w:r>
      <w:r>
        <w:t xml:space="preserve">recommends a positive performance rating and encourages continued professional development in data analytics and strategic networking.</w:t>
      </w:r>
    </w:p>
    <w:bookmarkEnd w:id="29"/>
    <w:p>
      <w:pPr>
        <w:pStyle w:val="BodyText"/>
      </w:pPr>
      <w:r>
        <w:rPr>
          <w:bCs/>
          <w:b/>
        </w:rPr>
        <w:t xml:space="preserve">Reviewer Signature:</w:t>
      </w:r>
    </w:p>
    <w:p>
      <w:pPr>
        <w:pStyle w:val="BodyText"/>
      </w:pPr>
      <w:r>
        <w:t xml:space="preserve">A. Karimov</w:t>
      </w:r>
      <w:r>
        <w:br/>
      </w:r>
      <w:r>
        <w:t xml:space="preserve">Senior Information Specialist</w:t>
      </w:r>
    </w:p>
    <w:p>
      <w:pPr>
        <w:pStyle w:val="BodyText"/>
      </w:pPr>
      <w:r>
        <w:rPr>
          <w:bCs/>
          <w:b/>
        </w:rPr>
        <w:t xml:space="preserve">Librarian Acknowledgment:</w:t>
      </w:r>
    </w:p>
    <w:p>
      <w:pPr>
        <w:pStyle w:val="BodyText"/>
      </w:pPr>
      <w:r>
        <w:t xml:space="preserve">[Signature Space]</w:t>
      </w:r>
      <w:r>
        <w:br/>
      </w:r>
      <w:r>
        <w:t xml:space="preserve">Date: _______________</w:t>
      </w:r>
    </w:p>
    <w:p>
      <w:pPr>
        <w:pStyle w:val="BodyText"/>
      </w:pPr>
      <w:r>
        <w:t xml:space="preserve">Confidential Document - Internal Use Only | Prepared for the Tashkent Library Administration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Performance Evaluation</dc:title>
  <dc:creator/>
  <dc:language>en</dc:language>
  <cp:keywords/>
  <dcterms:created xsi:type="dcterms:W3CDTF">2026-10-10T07:04:21Z</dcterms:created>
  <dcterms:modified xsi:type="dcterms:W3CDTF">2026-10-10T07:04:21Z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