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Marine Engineer operating within the maritime sector in Russia, specifically focusing on operations based in Moscow. The purpose of this review is to provide a comprehensive assessment of the engineer’s capabilities, contributions, and areas for improvement, ensuring alignment with both international maritime regulations and local Russian standards.</w:t>
      </w:r>
    </w:p>
    <w:p>
      <w:pPr>
        <w:pStyle w:val="BodyText"/>
      </w:pPr>
      <w:r>
        <w:t xml:space="preserve">The review process involved collaboration with senior engineers, supervisors, and relevant stakeholders to gather insights into the Marine Engineer’s day-to-day responsibilities, project involvement, and overall impact on operational efficiency and safety. This document serves as an official record of the evaluation and will be used to guide future professional development and decision-making processes.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expertise and proficiency in marine engineering systems.</w:t>
      </w:r>
    </w:p>
    <w:p>
      <w:pPr>
        <w:numPr>
          <w:ilvl w:val="0"/>
          <w:numId w:val="1001"/>
        </w:numPr>
        <w:pStyle w:val="Compact"/>
      </w:pPr>
      <w:r>
        <w:t xml:space="preserve">Compliance with international maritime conventions (e.g., SOLAS, MARPOL) and Russian federal regulations.</w:t>
      </w:r>
    </w:p>
    <w:p>
      <w:pPr>
        <w:numPr>
          <w:ilvl w:val="0"/>
          <w:numId w:val="1001"/>
        </w:numPr>
        <w:pStyle w:val="Compact"/>
      </w:pPr>
      <w:r>
        <w:t xml:space="preserve">Project management and leadership skills.</w:t>
      </w:r>
    </w:p>
    <w:p>
      <w:pPr>
        <w:numPr>
          <w:ilvl w:val="0"/>
          <w:numId w:val="1001"/>
        </w:numPr>
        <w:pStyle w:val="Compact"/>
      </w:pPr>
      <w:r>
        <w:t xml:space="preserve">Communication and teamwork within multidisciplinary teams.</w:t>
      </w:r>
    </w:p>
    <w:p>
      <w:pPr>
        <w:numPr>
          <w:ilvl w:val="0"/>
          <w:numId w:val="1001"/>
        </w:numPr>
        <w:pStyle w:val="Compact"/>
      </w:pPr>
      <w:r>
        <w:t xml:space="preserve">Adaptability to the unique challenges of operating in Russia, including environmental conditions and regulatory frameworks.</w:t>
      </w:r>
    </w:p>
    <w:p>
      <w:pPr>
        <w:pStyle w:val="FirstParagraph"/>
      </w:pPr>
      <w:r>
        <w:t xml:space="preserve">The review period covers the last 12 months of the Marine Engineer’s employment, with a focus on their contributions to ongoing projects and maintenance activities in Moscow-based operations.</w:t>
      </w:r>
    </w:p>
    <w:bookmarkEnd w:id="22"/>
    <w:bookmarkStart w:id="23" w:name="technical-competence"/>
    <w:p>
      <w:pPr>
        <w:pStyle w:val="Heading2"/>
      </w:pPr>
      <w:r>
        <w:t xml:space="preserve">3. Technical Competence</w:t>
      </w:r>
    </w:p>
    <w:p>
      <w:pPr>
        <w:pStyle w:val="FirstParagraph"/>
      </w:pPr>
      <w:r>
        <w:t xml:space="preserve">The Marine Engineer demonstrated a high level of technical competence throughout the review period. Their ability to diagnose and resolve complex mechanical and electrical issues on board vessels was consistently praised by peers and supervisors. Key achievements include:</w:t>
      </w:r>
    </w:p>
    <w:p>
      <w:pPr>
        <w:numPr>
          <w:ilvl w:val="0"/>
          <w:numId w:val="1002"/>
        </w:numPr>
        <w:pStyle w:val="Compact"/>
      </w:pPr>
      <w:r>
        <w:t xml:space="preserve">Successful implementation of preventive maintenance schedules that reduced equipment downtime by 15%.</w:t>
      </w:r>
    </w:p>
    <w:p>
      <w:pPr>
        <w:numPr>
          <w:ilvl w:val="0"/>
          <w:numId w:val="1002"/>
        </w:numPr>
        <w:pStyle w:val="Compact"/>
      </w:pPr>
      <w:r>
        <w:t xml:space="preserve">Expertise in managing propulsion systems, auxiliary machinery, and power generation units in compliance with IMO standards.</w:t>
      </w:r>
    </w:p>
    <w:p>
      <w:pPr>
        <w:numPr>
          <w:ilvl w:val="0"/>
          <w:numId w:val="1002"/>
        </w:numPr>
        <w:pStyle w:val="Compact"/>
      </w:pPr>
      <w:r>
        <w:t xml:space="preserve">Proficiency in using advanced diagnostic tools and software to monitor vessel performance and identify potential issues before they escalate.</w:t>
      </w:r>
    </w:p>
    <w:p>
      <w:pPr>
        <w:pStyle w:val="FirstParagraph"/>
      </w:pPr>
      <w:r>
        <w:t xml:space="preserve">Additionally, the engineer’s knowledge of Russian maritime regulations and their ability to navigate the local legal framework were instrumental in ensuring smooth operations and avoiding compliance-related penalties.</w:t>
      </w:r>
    </w:p>
    <w:bookmarkEnd w:id="23"/>
    <w:bookmarkStart w:id="24" w:name="safety-and-compliance"/>
    <w:p>
      <w:pPr>
        <w:pStyle w:val="Heading2"/>
      </w:pPr>
      <w:r>
        <w:t xml:space="preserve">4. Safety and Compliance</w:t>
      </w:r>
    </w:p>
    <w:p>
      <w:pPr>
        <w:pStyle w:val="FirstParagraph"/>
      </w:pPr>
      <w:r>
        <w:t xml:space="preserve">Safety is a cornerstone of marine engineering, and the reviewed engineer exhibited a strong commitment to maintaining the highest safety standards. They actively participated in safety drills, risk assessments, and emergency response planning, ensuring that all crew members were well-prepared for potential incidents.</w:t>
      </w:r>
    </w:p>
    <w:p>
      <w:pPr>
        <w:pStyle w:val="BodyText"/>
      </w:pPr>
      <w:r>
        <w:t xml:space="preserve">The engineer’s adherence to environmental regulations, particularly those outlined in MARPOL, was commendable. They implemented measures to reduce emissions and minimize the environmental impact of vessel operations, aligning with both global sustainability goals and Russia’s national environmental policies.</w:t>
      </w:r>
    </w:p>
    <w:bookmarkEnd w:id="24"/>
    <w:bookmarkStart w:id="25" w:name="leadership-and-teamwork"/>
    <w:p>
      <w:pPr>
        <w:pStyle w:val="Heading2"/>
      </w:pPr>
      <w:r>
        <w:t xml:space="preserve">5. Leadership and Teamwork</w:t>
      </w:r>
    </w:p>
    <w:p>
      <w:pPr>
        <w:pStyle w:val="FirstParagraph"/>
      </w:pPr>
      <w:r>
        <w:t xml:space="preserve">As a key member of the engineering team, the Marine Engineer demonstrated strong leadership qualities. They effectively coordinated with junior engineers, providing mentorship and guidance to enhance their skills and confidence. Their collaborative approach fostered a positive work environment and improved team morale.</w:t>
      </w:r>
    </w:p>
    <w:p>
      <w:pPr>
        <w:pStyle w:val="BodyText"/>
      </w:pPr>
      <w:r>
        <w:t xml:space="preserve">Communication skills were also highlighted as a strength. The engineer maintained clear and concise communication with ship captains, port authorities, and shore-based support teams, ensuring seamless coordination during critical operations.</w:t>
      </w:r>
    </w:p>
    <w:bookmarkEnd w:id="25"/>
    <w:bookmarkStart w:id="26" w:name="areas-for-improvement"/>
    <w:p>
      <w:pPr>
        <w:pStyle w:val="Heading2"/>
      </w:pPr>
      <w:r>
        <w:t xml:space="preserve">6. Areas for Improvement</w:t>
      </w:r>
    </w:p>
    <w:p>
      <w:pPr>
        <w:pStyle w:val="FirstParagraph"/>
      </w:pPr>
      <w:r>
        <w:t xml:space="preserve">While the Marine Engineer’s performance was largely exemplary, there are areas where further development could enhance their effectiveness:</w:t>
      </w:r>
    </w:p>
    <w:p>
      <w:pPr>
        <w:numPr>
          <w:ilvl w:val="0"/>
          <w:numId w:val="1003"/>
        </w:numPr>
        <w:pStyle w:val="Compact"/>
      </w:pPr>
      <w:r>
        <w:t xml:space="preserve">Enhancing proficiency in digital twin technology and predictive analytics to stay ahead of industry trends.</w:t>
      </w:r>
    </w:p>
    <w:p>
      <w:pPr>
        <w:numPr>
          <w:ilvl w:val="0"/>
          <w:numId w:val="1003"/>
        </w:numPr>
        <w:pStyle w:val="Compact"/>
      </w:pPr>
      <w:r>
        <w:t xml:space="preserve">Strengthening cross-cultural communication skills to better engage with international partners and clients.</w:t>
      </w:r>
    </w:p>
    <w:p>
      <w:pPr>
        <w:numPr>
          <w:ilvl w:val="0"/>
          <w:numId w:val="1003"/>
        </w:numPr>
        <w:pStyle w:val="Compact"/>
      </w:pPr>
      <w:r>
        <w:t xml:space="preserve">Expanding knowledge of renewable energy systems to contribute to the transition toward greener maritime practices.</w:t>
      </w:r>
    </w:p>
    <w:bookmarkEnd w:id="26"/>
    <w:bookmarkStart w:id="27" w:name="conclusion"/>
    <w:p>
      <w:pPr>
        <w:pStyle w:val="Heading2"/>
      </w:pPr>
      <w:r>
        <w:t xml:space="preserve">7. Conclusion</w:t>
      </w:r>
    </w:p>
    <w:p>
      <w:pPr>
        <w:pStyle w:val="FirstParagraph"/>
      </w:pPr>
      <w:r>
        <w:t xml:space="preserve">In conclusion, this Peer Review Report affirms the Marine Engineer’s exceptional technical abilities, dedication to safety, and leadership qualities. Their contributions have significantly benefited operations in Russia, particularly in Moscow, where they have demonstrated adaptability and professionalism in a challenging environment. With continued focus on the identified areas for improvement, the engineer is well-positioned to take on greater responsibilities and drive innovation within the maritime industry.</w:t>
      </w:r>
    </w:p>
    <w:bookmarkEnd w:id="27"/>
    <w:p>
      <w:pPr>
        <w:pStyle w:val="BodyText"/>
      </w:pPr>
      <w:r>
        <w:rPr>
          <w:bCs/>
          <w:b/>
        </w:rPr>
        <w:t xml:space="preserve">Prepared by:</w:t>
      </w:r>
    </w:p>
    <w:p>
      <w:pPr>
        <w:pStyle w:val="BodyText"/>
      </w:pPr>
      <w:r>
        <w:t xml:space="preserve">Senior Review Committee</w:t>
      </w:r>
    </w:p>
    <w:p>
      <w:pPr>
        <w:pStyle w:val="BodyText"/>
      </w:pPr>
      <w:r>
        <w:t xml:space="preserve">Moscow Maritime Engineering Association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Russia Moscow</dc:title>
  <dc:creator/>
  <dc:language>en</dc:language>
  <cp:keywords/>
  <dcterms:created xsi:type="dcterms:W3CDTF">2026-10-10T03:51:28Z</dcterms:created>
  <dcterms:modified xsi:type="dcterms:W3CDTF">2026-10-10T03:51:28Z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