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operational safety standards, and regulatory compliance of a designated Marine Engineer operating within the Kingdom of Saudi Arabia. Specifically, this assessment focuses on engineering operations relevant to the logistical and maritime infrastructure supporting the industrial zones accessible from Riyadh. As the capital city serves as the administrative and logistical hub for the Kingdom’s growing maritime and port sectors, including the strategic Red Sea and Persian Gulf corridors, the standards required for marine engineering personnel are exceptionally high.</w:t>
      </w:r>
    </w:p>
    <w:p>
      <w:pPr>
        <w:pStyle w:val="BodyText"/>
      </w:pPr>
      <w:r>
        <w:t xml:space="preserve">The purpose of this review is to ensure that the Marine Engineer’s practices align with international maritime conventions, such as the International Convention for the Safety of Life at Sea (SOLAS), and local regulations enforced by the General Authority of Maritime Affairs (GAMA) and the Saudi Arabian Maritime Traffic Management Center (SAMTC). This document serves as a formal record of the engineer’s competency regarding machinery maintenance, environmental compliance, and emergency response protocols.</w:t>
      </w:r>
    </w:p>
    <w:bookmarkEnd w:id="21"/>
    <w:bookmarkStart w:id="22" w:name="X0319a32a982bf184030980e7e7b9e8f30876aba"/>
    <w:p>
      <w:pPr>
        <w:pStyle w:val="Heading2"/>
      </w:pPr>
      <w:r>
        <w:t xml:space="preserve">2. Candidate Profile and Operational Context</w:t>
      </w:r>
    </w:p>
    <w:p>
      <w:pPr>
        <w:pStyle w:val="FirstParagraph"/>
      </w:pPr>
      <w:r>
        <w:t xml:space="preserve">The subject of this review is a Marine Engineer responsible for the maintenance and operation of auxiliary and main propulsion systems on vessels servicing the supply chains connected to Riyadh’s industrial sectors. The operational context involves navigating the unique challenges of the region, including high ambient temperatures, saline environments, and the rigorous safety standards mandated by Vision 2030 initiatives.</w:t>
      </w:r>
    </w:p>
    <w:p>
      <w:pPr>
        <w:pStyle w:val="BodyText"/>
      </w:pPr>
      <w:r>
        <w:t xml:space="preserve">The engineer is expected to manage complex diesel engine systems, electrical power generation, and automation controls. Furthermore, given the proximity to critical infrastructure in Riyadh, the engineer must demonstrate a high level of diligence in preventing mechanical failures that could disrupt the supply of essential goods and materials to the capital.</w:t>
      </w:r>
    </w:p>
    <w:bookmarkEnd w:id="22"/>
    <w:bookmarkStart w:id="25" w:name="technical-competency-assessment"/>
    <w:p>
      <w:pPr>
        <w:pStyle w:val="Heading2"/>
      </w:pPr>
      <w:r>
        <w:t xml:space="preserve">3. Technical Competency Assessment</w:t>
      </w:r>
    </w:p>
    <w:bookmarkStart w:id="23" w:name="machinery-maintenance-and-repair"/>
    <w:p>
      <w:pPr>
        <w:pStyle w:val="Heading3"/>
      </w:pPr>
      <w:r>
        <w:t xml:space="preserve">3.1 Machinery Maintenance and Repair</w:t>
      </w:r>
    </w:p>
    <w:p>
      <w:pPr>
        <w:pStyle w:val="FirstParagraph"/>
      </w:pPr>
      <w:r>
        <w:t xml:space="preserve">The peer review team conducted a thorough inspection of the Marine Engineer’s maintenance logs and physical inspection of the engine room. The engineer demonstrated a comprehensive understanding of preventive maintenance schedules. Specific attention was paid to the cooling systems and fuel injection mechanisms, which are critical in the hot climate of Saudi Arabia. The engineer’s ability to diagnose and rectify faults in high-pressure fuel pumps was noted as exemplary.</w:t>
      </w:r>
    </w:p>
    <w:p>
      <w:pPr>
        <w:pStyle w:val="BodyText"/>
      </w:pPr>
      <w:r>
        <w:t xml:space="preserve">Furthermore, the engineer showed proficiency in managing the ship’s electrical systems, ensuring stable power supply to navigation and communication equipment. This is vital for vessels operating in the busy waterways that support the trade routes feeding into Riyadh’s logistics hubs.</w:t>
      </w:r>
    </w:p>
    <w:bookmarkEnd w:id="23"/>
    <w:bookmarkStart w:id="24" w:name="environmental-compliance"/>
    <w:p>
      <w:pPr>
        <w:pStyle w:val="Heading3"/>
      </w:pPr>
      <w:r>
        <w:t xml:space="preserve">3.2 Environmental Compliance</w:t>
      </w:r>
    </w:p>
    <w:p>
      <w:pPr>
        <w:pStyle w:val="FirstParagraph"/>
      </w:pPr>
      <w:r>
        <w:t xml:space="preserve">Adherence to environmental regulations is a paramount concern in Saudi Arabia. The Marine Engineer was evaluated on their management of oily water separators (OWS) and sewage treatment plants. The review confirmed that all discharge records were accurate and compliant with MARPOL Annex I and Annex IV. The engineer’s proactive approach to minimizing waste and ensuring zero illegal discharge aligns with the Kingdom’s commitment to environmental sustainability.</w:t>
      </w:r>
    </w:p>
    <w:bookmarkEnd w:id="24"/>
    <w:bookmarkEnd w:id="25"/>
    <w:bookmarkStart w:id="26" w:name="safety-and-emergency-response"/>
    <w:p>
      <w:pPr>
        <w:pStyle w:val="Heading2"/>
      </w:pPr>
      <w:r>
        <w:t xml:space="preserve">4. Safety and Emergency Response</w:t>
      </w:r>
    </w:p>
    <w:p>
      <w:pPr>
        <w:pStyle w:val="FirstParagraph"/>
      </w:pPr>
      <w:r>
        <w:t xml:space="preserve">Safety is the cornerstone of marine engineering. The peer review included a simulation of an emergency scenario involving a main engine failure and a subsequent fire alarm. The Marine Engineer responded promptly, following the established emergency response plan. The engineer’s ability to isolate the affected area, activate fire suppression systems, and communicate effectively with the bridge team was highly commended.</w:t>
      </w:r>
    </w:p>
    <w:p>
      <w:pPr>
        <w:pStyle w:val="BodyText"/>
      </w:pPr>
      <w:r>
        <w:t xml:space="preserve">Additionally, the engineer’s knowledge of personal protective equipment (PPE) usage and confined space entry procedures was assessed. All safety protocols were followed meticulously, reflecting a strong safety culture that is essential for operations supporting the industrial growth of Riyadh and the broader Kingdom.</w:t>
      </w:r>
    </w:p>
    <w:bookmarkEnd w:id="26"/>
    <w:bookmarkStart w:id="27" w:name="regulatory-compliance-and-documentation"/>
    <w:p>
      <w:pPr>
        <w:pStyle w:val="Heading2"/>
      </w:pPr>
      <w:r>
        <w:t xml:space="preserve">5. Regulatory Compliance and Documentation</w:t>
      </w:r>
    </w:p>
    <w:p>
      <w:pPr>
        <w:pStyle w:val="FirstParagraph"/>
      </w:pPr>
      <w:r>
        <w:t xml:space="preserve">The review team examined the engineer’s documentation practices, including the Official Logbook, Engine Logbook, and Oil Record Book. All entries were found to be accurate, timely, and in compliance with the requirements of the Saudi Arabian Maritime Traffic Management Center (SAMTC). The engineer’s familiarity with local regulations and international standards ensures that the vessel remains in good standing with port state control authorities in Saudi Arabia.</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the peer review team concludes that the Marine Engineer possesses the necessary technical skills, safety awareness, and regulatory knowledge to perform their duties effectively in the context of Saudi Arabia’s maritime operations. The engineer’s performance supports the reliability and safety of the supply chains that are crucial for the economic development of Riyadh and the Kingdom.</w:t>
      </w:r>
    </w:p>
    <w:p>
      <w:pPr>
        <w:pStyle w:val="BodyText"/>
      </w:pPr>
      <w:r>
        <w:rPr>
          <w:bCs/>
          <w:b/>
        </w:rPr>
        <w:t xml:space="preserve">Recommendations:</w:t>
      </w:r>
    </w:p>
    <w:p>
      <w:pPr>
        <w:numPr>
          <w:ilvl w:val="0"/>
          <w:numId w:val="1001"/>
        </w:numPr>
        <w:pStyle w:val="Compact"/>
      </w:pPr>
      <w:r>
        <w:t xml:space="preserve">Continue regular training on emerging technologies in marine automation.</w:t>
      </w:r>
    </w:p>
    <w:p>
      <w:pPr>
        <w:numPr>
          <w:ilvl w:val="0"/>
          <w:numId w:val="1001"/>
        </w:numPr>
        <w:pStyle w:val="Compact"/>
      </w:pPr>
      <w:r>
        <w:t xml:space="preserve">Participate in advanced workshops on environmental management systems to further enhance compliance with Vision 2030 sustainability goals.</w:t>
      </w:r>
    </w:p>
    <w:p>
      <w:pPr>
        <w:numPr>
          <w:ilvl w:val="0"/>
          <w:numId w:val="1001"/>
        </w:numPr>
        <w:pStyle w:val="Compact"/>
      </w:pPr>
      <w:r>
        <w:t xml:space="preserve">Maintain open communication channels with port authorities in Riyadh to stay updated on any changes in local regulations.</w:t>
      </w:r>
    </w:p>
    <w:p>
      <w:pPr>
        <w:pStyle w:val="FirstParagraph"/>
      </w:pPr>
      <w:r>
        <w:t xml:space="preserve">This Peer Review Report serves as a testament to the Marine Engineer’s commitment to excellence and safety. It is recommended that the engineer be recognized for their contributions and encouraged to continue their professional development.</w:t>
      </w:r>
    </w:p>
    <w:bookmarkEnd w:id="28"/>
    <w:p>
      <w:pPr>
        <w:pStyle w:val="BodyText"/>
      </w:pPr>
      <w:r>
        <w:rPr>
          <w:bCs/>
          <w:b/>
        </w:rPr>
        <w:t xml:space="preserve">Prepared by:</w:t>
      </w:r>
    </w:p>
    <w:p>
      <w:pPr>
        <w:pStyle w:val="BodyText"/>
      </w:pPr>
      <w:r>
        <w:t xml:space="preserve">Senior Marine Surveyor</w:t>
      </w:r>
    </w:p>
    <w:p>
      <w:pPr>
        <w:pStyle w:val="BodyText"/>
      </w:pPr>
      <w:r>
        <w:t xml:space="preserve">Peer Review Committee</w:t>
      </w:r>
    </w:p>
    <w:p>
      <w:pPr>
        <w:pStyle w:val="BodyText"/>
      </w:pP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Riyadh, Saudi Arabia</dc:title>
  <dc:creator/>
  <dc:language>en</dc:language>
  <cp:keywords/>
  <dcterms:created xsi:type="dcterms:W3CDTF">2026-10-10T03:49:55Z</dcterms:created>
  <dcterms:modified xsi:type="dcterms:W3CDTF">2026-10-10T03:49:55Z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