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Marine Engineer</w:t>
      </w:r>
    </w:p>
    <w:p>
      <w:pPr>
        <w:pStyle w:val="BodyText"/>
      </w:pPr>
      <w:r>
        <w:rPr>
          <w:bCs/>
          <w:b/>
        </w:rPr>
        <w:t xml:space="preserve">Location of Operation:</w:t>
      </w:r>
      <w:r>
        <w:t xml:space="preserve"> </w:t>
      </w:r>
      <w:r>
        <w:t xml:space="preserve">United Arab Emirates, Dubai</w:t>
      </w:r>
    </w:p>
    <w:p>
      <w:pPr>
        <w:pStyle w:val="BodyText"/>
      </w:pPr>
      <w:r>
        <w:rPr>
          <w:bCs/>
          <w:b/>
        </w:rPr>
        <w:t xml:space="preserve">Date of Report:</w:t>
      </w:r>
      <w:r>
        <w:t xml:space="preserve"> </w:t>
      </w:r>
      <w:r>
        <w:t xml:space="preserve">October 24, 2023</w:t>
      </w:r>
    </w:p>
    <w:p>
      <w:pPr>
        <w:pStyle w:val="BodyText"/>
      </w:pPr>
      <w:r>
        <w:rPr>
          <w:bCs/>
          <w:b/>
        </w:rPr>
        <w:t xml:space="preserve">Report Reference No:</w:t>
      </w:r>
      <w:r>
        <w:t xml:space="preserve"> </w:t>
      </w:r>
      <w:r>
        <w:t xml:space="preserve">UAE-DXB-ME-2023-089</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regulatory compliance of a Marine Engineer operating within the jurisdiction of the United Arab Emirates, specifically focusing on the maritime operations centered in Dubai. The review aims to ensure that the engineer's practices align with the stringent requirements set forth by the Dubai Maritime City Authority (DMCA), the Federal Maritime Authority (FMA), and international conventions such as SOLAS and MARPOL.</w:t>
      </w:r>
    </w:p>
    <w:p>
      <w:pPr>
        <w:pStyle w:val="BodyText"/>
      </w:pPr>
      <w:r>
        <w:t xml:space="preserve">The assessment covers a comprehensive range of duties including main propulsion plant management, auxiliary machinery maintenance, environmental protection systems, and emergency response protocols. The findings indicate a high level of technical competence, with specific recommendations provided to enhance alignment with the evolving regulatory landscape of the UAE.</w:t>
      </w:r>
    </w:p>
    <w:bookmarkEnd w:id="21"/>
    <w:bookmarkStart w:id="22" w:name="engineer-and-vessel-profile"/>
    <w:p>
      <w:pPr>
        <w:pStyle w:val="Heading2"/>
      </w:pPr>
      <w:r>
        <w:t xml:space="preserve">2. Engineer and Vessel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Engineer Name</w:t>
            </w:r>
          </w:p>
        </w:tc>
        <w:tc>
          <w:tcPr/>
          <w:p>
            <w:pPr>
              <w:pStyle w:val="Compact"/>
              <w:jc w:val="left"/>
            </w:pPr>
            <w:r>
              <w:t xml:space="preserve">[Name Redacted for Confidentiality]</w:t>
            </w:r>
          </w:p>
        </w:tc>
      </w:tr>
      <w:tr>
        <w:tc>
          <w:tcPr/>
          <w:p>
            <w:pPr>
              <w:pStyle w:val="Compact"/>
              <w:jc w:val="left"/>
            </w:pPr>
            <w:r>
              <w:t xml:space="preserve">Rank</w:t>
            </w:r>
          </w:p>
        </w:tc>
        <w:tc>
          <w:tcPr/>
          <w:p>
            <w:pPr>
              <w:pStyle w:val="Compact"/>
              <w:jc w:val="left"/>
            </w:pPr>
            <w:r>
              <w:t xml:space="preserve">Chief Marine Engineer</w:t>
            </w:r>
          </w:p>
        </w:tc>
      </w:tr>
      <w:tr>
        <w:tc>
          <w:tcPr/>
          <w:p>
            <w:pPr>
              <w:pStyle w:val="Compact"/>
              <w:jc w:val="left"/>
            </w:pPr>
            <w:r>
              <w:t xml:space="preserve">Vessel Type</w:t>
            </w:r>
          </w:p>
        </w:tc>
        <w:tc>
          <w:tcPr/>
          <w:p>
            <w:pPr>
              <w:pStyle w:val="Compact"/>
              <w:jc w:val="left"/>
            </w:pPr>
            <w:r>
              <w:t xml:space="preserve">Container Vessel / Bulk Carrier</w:t>
            </w:r>
          </w:p>
        </w:tc>
      </w:tr>
      <w:tr>
        <w:tc>
          <w:tcPr/>
          <w:p>
            <w:pPr>
              <w:pStyle w:val="Compact"/>
              <w:jc w:val="left"/>
            </w:pPr>
            <w:r>
              <w:t xml:space="preserve">Flag State</w:t>
            </w:r>
          </w:p>
        </w:tc>
        <w:tc>
          <w:tcPr/>
          <w:p>
            <w:pPr>
              <w:pStyle w:val="Compact"/>
              <w:jc w:val="left"/>
            </w:pPr>
            <w:r>
              <w:t xml:space="preserve">United Arab Emirates</w:t>
            </w:r>
          </w:p>
        </w:tc>
      </w:tr>
      <w:tr>
        <w:tc>
          <w:tcPr/>
          <w:p>
            <w:pPr>
              <w:pStyle w:val="Compact"/>
              <w:jc w:val="left"/>
            </w:pPr>
            <w:r>
              <w:t xml:space="preserve">Port of Registry</w:t>
            </w:r>
          </w:p>
        </w:tc>
        <w:tc>
          <w:tcPr/>
          <w:p>
            <w:pPr>
              <w:pStyle w:val="Compact"/>
              <w:jc w:val="left"/>
            </w:pPr>
            <w:r>
              <w:t xml:space="preserve">Dubai</w:t>
            </w:r>
          </w:p>
        </w:tc>
      </w:tr>
      <w:tr>
        <w:tc>
          <w:tcPr/>
          <w:p>
            <w:pPr>
              <w:pStyle w:val="Compact"/>
              <w:jc w:val="left"/>
            </w:pPr>
            <w:r>
              <w:t xml:space="preserve">Review Period</w:t>
            </w:r>
          </w:p>
        </w:tc>
        <w:tc>
          <w:tcPr/>
          <w:p>
            <w:pPr>
              <w:pStyle w:val="Compact"/>
              <w:jc w:val="left"/>
            </w:pPr>
            <w:r>
              <w:t xml:space="preserve">January 2023 – September 2023</w:t>
            </w:r>
          </w:p>
        </w:tc>
      </w:tr>
    </w:tbl>
    <w:bookmarkEnd w:id="22"/>
    <w:bookmarkStart w:id="25" w:name="technical-competency-assessment"/>
    <w:p>
      <w:pPr>
        <w:pStyle w:val="Heading2"/>
      </w:pPr>
      <w:r>
        <w:t xml:space="preserve">3. Technical Competency Assessment</w:t>
      </w:r>
    </w:p>
    <w:bookmarkStart w:id="23" w:name="main-propulsion-and-auxiliary-machinery"/>
    <w:p>
      <w:pPr>
        <w:pStyle w:val="Heading3"/>
      </w:pPr>
      <w:r>
        <w:t xml:space="preserve">3.1 Main Propulsion and Auxiliary Machinery</w:t>
      </w:r>
    </w:p>
    <w:p>
      <w:pPr>
        <w:pStyle w:val="FirstParagraph"/>
      </w:pPr>
      <w:r>
        <w:t xml:space="preserve">The Marine Engineer demonstrated exceptional oversight of the main propulsion plant. During the review period, the engineer maintained optimal performance of the diesel engines, ensuring fuel efficiency and minimizing emissions. The maintenance logs reviewed showed a proactive approach to preventive maintenance, which is critical for vessels operating in the high-temperature environment of the Arabian Gulf. The engineer’s ability to diagnose complex mechanical faults and implement timely repairs contributed significantly to the vessel's operational uptime.</w:t>
      </w:r>
    </w:p>
    <w:p>
      <w:pPr>
        <w:pStyle w:val="BodyText"/>
      </w:pPr>
      <w:r>
        <w:t xml:space="preserve">Furthermore, the management of auxiliary machinery, including generators, pumps, and compressors, was conducted in accordance with manufacturer specifications and class society requirements. The engineer ensured that all critical spare parts were adequately stocked, adhering to the supply chain protocols common in Dubai’s maritime logistics sector.</w:t>
      </w:r>
    </w:p>
    <w:bookmarkEnd w:id="23"/>
    <w:bookmarkStart w:id="24" w:name="X4abbcbd96bb31c0d36eb70a76d4e2ae1182ec05"/>
    <w:p>
      <w:pPr>
        <w:pStyle w:val="Heading3"/>
      </w:pPr>
      <w:r>
        <w:t xml:space="preserve">3.2 Environmental Compliance and MARPOL Adherence</w:t>
      </w:r>
    </w:p>
    <w:p>
      <w:pPr>
        <w:pStyle w:val="FirstParagraph"/>
      </w:pPr>
      <w:r>
        <w:t xml:space="preserve">Given the United Arab Emirates' commitment to environmental sustainability, compliance with MARPOL regulations is paramount. The Marine Engineer was evaluated on the operation and maintenance of the Oil Discharge Monitoring Equipment (ODME), Sewage Treatment Plants, and Incinerators. The review confirmed that the engineer strictly adhered to discharge limits and maintained accurate Oil Record Books.</w:t>
      </w:r>
    </w:p>
    <w:p>
      <w:pPr>
        <w:pStyle w:val="BodyText"/>
      </w:pPr>
      <w:r>
        <w:t xml:space="preserve">Special attention was paid to the implementation of the UAE’s local environmental regulations. The engineer successfully managed the transition to low-sulfur fuels in compliance with the Emission Control Areas (ECAs) and demonstrated knowledge of the latest environmental directives issued by the Dubai Municipality and the Federal Environment Agency.</w:t>
      </w:r>
    </w:p>
    <w:bookmarkEnd w:id="24"/>
    <w:bookmarkEnd w:id="25"/>
    <w:bookmarkStart w:id="28" w:name="Xf9a567cd819f4b69dd4e9643b3db300f83af61e"/>
    <w:p>
      <w:pPr>
        <w:pStyle w:val="Heading2"/>
      </w:pPr>
      <w:r>
        <w:t xml:space="preserve">4. Safety Management and Regulatory Compliance</w:t>
      </w:r>
    </w:p>
    <w:bookmarkStart w:id="26" w:name="safety-management-system-sms"/>
    <w:p>
      <w:pPr>
        <w:pStyle w:val="Heading3"/>
      </w:pPr>
      <w:r>
        <w:t xml:space="preserve">4.1 Safety Management System (SMS)</w:t>
      </w:r>
    </w:p>
    <w:p>
      <w:pPr>
        <w:pStyle w:val="FirstParagraph"/>
      </w:pPr>
      <w:r>
        <w:t xml:space="preserve">The engineer’s adherence to the company’s Safety Management System (SMS) was thoroughly reviewed. The assessment highlighted the engineer’s active participation in safety drills, including fire fighting, abandon ship, and machinery space emergency procedures. The engineer effectively communicated safety protocols to the engineering team, fostering a strong safety culture onboard.</w:t>
      </w:r>
    </w:p>
    <w:p>
      <w:pPr>
        <w:pStyle w:val="BodyText"/>
      </w:pPr>
      <w:r>
        <w:t xml:space="preserve">In the context of Dubai’s maritime operations, where port state control inspections are rigorous, the engineer ensured that all safety equipment, including fire detection systems and emergency generators, was in perfect working order. The review noted that the engineer proactively addressed non-conformities identified during internal audits, demonstrating a commitment to continuous improvement.</w:t>
      </w:r>
    </w:p>
    <w:bookmarkEnd w:id="26"/>
    <w:bookmarkStart w:id="27" w:name="regulatory-framework-alignment"/>
    <w:p>
      <w:pPr>
        <w:pStyle w:val="Heading3"/>
      </w:pPr>
      <w:r>
        <w:t xml:space="preserve">4.2 Regulatory Framework Alignment</w:t>
      </w:r>
    </w:p>
    <w:p>
      <w:pPr>
        <w:pStyle w:val="FirstParagraph"/>
      </w:pPr>
      <w:r>
        <w:t xml:space="preserve">The Marine Engineer exhibited a comprehensive understanding of the regulatory framework governing maritime operations in the United Arab Emirates. This includes compliance with the UAE Maritime Code, regulations set by the Dubai Maritime City Authority (DMCA), and international standards enforced by the International Maritime Organization (IMO). The engineer’s ability to navigate these complex regulatory requirements ensures that the vessel remains compliant and avoids potential detentions or penalties.</w:t>
      </w:r>
    </w:p>
    <w:bookmarkEnd w:id="27"/>
    <w:bookmarkEnd w:id="28"/>
    <w:bookmarkStart w:id="29" w:name="leadership-and-team-management"/>
    <w:p>
      <w:pPr>
        <w:pStyle w:val="Heading2"/>
      </w:pPr>
      <w:r>
        <w:t xml:space="preserve">5. Leadership and Team Management</w:t>
      </w:r>
    </w:p>
    <w:p>
      <w:pPr>
        <w:pStyle w:val="FirstParagraph"/>
      </w:pPr>
      <w:r>
        <w:t xml:space="preserve">As a key member of the ship’s management, the Marine Engineer’s leadership skills were evaluated. The review found that the engineer effectively supervised the engineering department, ensuring that tasks were delegated appropriately and completed efficiently. The engineer’s ability to mentor junior engineers and promote professional development was noted as a significant strength.</w:t>
      </w:r>
    </w:p>
    <w:p>
      <w:pPr>
        <w:pStyle w:val="BodyText"/>
      </w:pPr>
      <w:r>
        <w:t xml:space="preserve">In the multicultural environment typical of vessels operating out of Dubai, the engineer demonstrated excellent interpersonal skills, fostering a collaborative and inclusive work environment. Effective communication with the Master and other departments was observed, ensuring seamless coordination during critical operations.</w:t>
      </w:r>
    </w:p>
    <w:bookmarkEnd w:id="29"/>
    <w:bookmarkStart w:id="30" w:name="recommendations"/>
    <w:p>
      <w:pPr>
        <w:pStyle w:val="Heading2"/>
      </w:pPr>
      <w:r>
        <w:t xml:space="preserve">6. Recommendations</w:t>
      </w:r>
    </w:p>
    <w:p>
      <w:pPr>
        <w:numPr>
          <w:ilvl w:val="0"/>
          <w:numId w:val="1001"/>
        </w:numPr>
        <w:pStyle w:val="Compact"/>
      </w:pPr>
      <w:r>
        <w:rPr>
          <w:bCs/>
          <w:b/>
        </w:rPr>
        <w:t xml:space="preserve">Continuous Professional Development:</w:t>
      </w:r>
      <w:r>
        <w:t xml:space="preserve"> </w:t>
      </w:r>
      <w:r>
        <w:t xml:space="preserve">It is recommended that the Marine Engineer pursue advanced training in digitalization and automation technologies, which are increasingly being adopted in the UAE’s maritime sector.</w:t>
      </w:r>
    </w:p>
    <w:p>
      <w:pPr>
        <w:numPr>
          <w:ilvl w:val="0"/>
          <w:numId w:val="1001"/>
        </w:numPr>
        <w:pStyle w:val="Compact"/>
      </w:pPr>
      <w:r>
        <w:rPr>
          <w:bCs/>
          <w:b/>
        </w:rPr>
        <w:t xml:space="preserve">Environmental Initiatives:</w:t>
      </w:r>
      <w:r>
        <w:t xml:space="preserve"> </w:t>
      </w:r>
      <w:r>
        <w:t xml:space="preserve">The engineer should explore further opportunities to reduce the vessel’s carbon footprint, aligning with the UAE’s National Climate Change Plan 2050.</w:t>
      </w:r>
    </w:p>
    <w:p>
      <w:pPr>
        <w:numPr>
          <w:ilvl w:val="0"/>
          <w:numId w:val="1001"/>
        </w:numPr>
        <w:pStyle w:val="Compact"/>
      </w:pPr>
      <w:r>
        <w:rPr>
          <w:bCs/>
          <w:b/>
        </w:rPr>
        <w:t xml:space="preserve">Regulatory Updates:</w:t>
      </w:r>
      <w:r>
        <w:t xml:space="preserve"> </w:t>
      </w:r>
      <w:r>
        <w:t xml:space="preserve">Regular updates on changes in UAE maritime regulations and international conventions should be integrated into the department’s training schedule.</w:t>
      </w:r>
    </w:p>
    <w:bookmarkEnd w:id="30"/>
    <w:bookmarkStart w:id="31" w:name="conclusion"/>
    <w:p>
      <w:pPr>
        <w:pStyle w:val="Heading2"/>
      </w:pPr>
      <w:r>
        <w:t xml:space="preserve">7. Conclusion</w:t>
      </w:r>
    </w:p>
    <w:p>
      <w:pPr>
        <w:pStyle w:val="FirstParagraph"/>
      </w:pPr>
      <w:r>
        <w:t xml:space="preserve">In conclusion, this Peer Review Report affirms that the Marine Engineer under review possesses the requisite technical expertise, safety awareness, and regulatory knowledge to perform their duties effectively within the United Arab Emirates, particularly in Dubai. The engineer’s contributions to the safe and efficient operation of the vessel are commendable, and the recommendations provided are intended to further enhance their professional capabilities.</w:t>
      </w:r>
    </w:p>
    <w:bookmarkEnd w:id="31"/>
    <w:bookmarkStart w:id="32" w:name="signatures"/>
    <w:p>
      <w:pPr>
        <w:pStyle w:val="Heading3"/>
      </w:pPr>
      <w:r>
        <w:t xml:space="preserve">Signatures</w:t>
      </w:r>
    </w:p>
    <w:p>
      <w:pPr>
        <w:pStyle w:val="FirstParagraph"/>
      </w:pPr>
      <w:r>
        <w:rPr>
          <w:bCs/>
          <w:b/>
        </w:rPr>
        <w:t xml:space="preserve">Reviewed By:</w:t>
      </w:r>
    </w:p>
    <w:p>
      <w:pPr>
        <w:pStyle w:val="BodyText"/>
      </w:pPr>
      <w:r>
        <w:t xml:space="preserve">[Name of Peer Reviewer]</w:t>
      </w:r>
    </w:p>
    <w:p>
      <w:pPr>
        <w:pStyle w:val="BodyText"/>
      </w:pPr>
      <w:r>
        <w:t xml:space="preserve">Senior Marine Surveyor</w:t>
      </w:r>
    </w:p>
    <w:p>
      <w:pPr>
        <w:pStyle w:val="BodyText"/>
      </w:pPr>
      <w:r>
        <w:t xml:space="preserve">Dubai Maritime City Authority (DMCA)</w:t>
      </w:r>
    </w:p>
    <w:p>
      <w:pPr>
        <w:pStyle w:val="BodyText"/>
      </w:pPr>
      <w:r>
        <w:rPr>
          <w:bCs/>
          <w:b/>
        </w:rPr>
        <w:t xml:space="preserve">Acknowledged By:</w:t>
      </w:r>
    </w:p>
    <w:p>
      <w:pPr>
        <w:pStyle w:val="BodyText"/>
      </w:pPr>
      <w:r>
        <w:t xml:space="preserve">[Name of Marine Engineer]</w:t>
      </w:r>
    </w:p>
    <w:p>
      <w:pPr>
        <w:pStyle w:val="BodyText"/>
      </w:pPr>
      <w:r>
        <w:t xml:space="preserve">Chief Marine Engineer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United Arab Emirates Dubai</dc:title>
  <dc:creator/>
  <dc:language>en</dc:language>
  <cp:keywords/>
  <dcterms:created xsi:type="dcterms:W3CDTF">2026-10-10T03:54:40Z</dcterms:created>
  <dcterms:modified xsi:type="dcterms:W3CDTF">2026-10-10T03:54:40Z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