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Marine Engineer operating within the maritime industry in the United Kingdom, specifically focusing on activities related to Birmingham. The purpose of this review is to ensure that the engineer adheres to the highest standards of safety, efficiency, and regulatory compliance as required by the Maritime and Coastguard Agency (MCA) and other relevant authorities.</w:t>
      </w:r>
    </w:p>
    <w:p>
      <w:pPr>
        <w:pStyle w:val="BodyText"/>
      </w:pPr>
      <w:r>
        <w:t xml:space="preserve">Birmingham, as a key industrial hub in the United Kingdom, plays a significant role in supporting maritime operations through its proximity to major ports such as Liverpool and Immingham. This report aims to assess how effectively the Marine Engineer integrates local resources, collaborates with regional stakeholders, and contributes to the broader maritime ecosystem in the United Kingdom.</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marine engineering systems and technologies.</w:t>
      </w:r>
    </w:p>
    <w:p>
      <w:pPr>
        <w:numPr>
          <w:ilvl w:val="0"/>
          <w:numId w:val="1001"/>
        </w:numPr>
        <w:pStyle w:val="Compact"/>
      </w:pPr>
      <w:r>
        <w:t xml:space="preserve">Compliance with international and national regulations, including SOLAS, MARPOL, and MCA guidelines.</w:t>
      </w:r>
    </w:p>
    <w:p>
      <w:pPr>
        <w:numPr>
          <w:ilvl w:val="0"/>
          <w:numId w:val="1001"/>
        </w:numPr>
        <w:pStyle w:val="Compact"/>
      </w:pPr>
      <w:r>
        <w:t xml:space="preserve">Effectiveness in maintaining and troubleshooting marine vessels and equipment.</w:t>
      </w:r>
    </w:p>
    <w:p>
      <w:pPr>
        <w:numPr>
          <w:ilvl w:val="0"/>
          <w:numId w:val="1001"/>
        </w:numPr>
        <w:pStyle w:val="Compact"/>
      </w:pPr>
      <w:r>
        <w:t xml:space="preserve">Collaboration with local teams and suppliers in Birmingham and surrounding regions.</w:t>
      </w:r>
    </w:p>
    <w:p>
      <w:pPr>
        <w:numPr>
          <w:ilvl w:val="0"/>
          <w:numId w:val="1001"/>
        </w:numPr>
        <w:pStyle w:val="Compact"/>
      </w:pPr>
      <w:r>
        <w:t xml:space="preserve">Commitment to continuous professional development and innovation.</w:t>
      </w:r>
    </w:p>
    <w:bookmarkEnd w:id="22"/>
    <w:bookmarkStart w:id="23" w:name="evaluation-criteria"/>
    <w:p>
      <w:pPr>
        <w:pStyle w:val="Heading2"/>
      </w:pPr>
      <w:r>
        <w:t xml:space="preserve">3. Evaluation Criteria</w:t>
      </w:r>
    </w:p>
    <w:p>
      <w:pPr>
        <w:pStyle w:val="FirstParagraph"/>
      </w:pPr>
      <w:r>
        <w:t xml:space="preserve">The evaluation of the Marine Engineer was conducted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Expertise</w:t>
            </w:r>
          </w:p>
        </w:tc>
        <w:tc>
          <w:tcPr/>
          <w:p>
            <w:pPr>
              <w:pStyle w:val="Compact"/>
              <w:jc w:val="left"/>
            </w:pPr>
            <w:r>
              <w:t xml:space="preserve">Assessment of knowledge and skills in marine engineering principles, machinery operation, and maintenance.</w:t>
            </w:r>
          </w:p>
        </w:tc>
      </w:tr>
      <w:tr>
        <w:tc>
          <w:tcPr/>
          <w:p>
            <w:pPr>
              <w:pStyle w:val="Compact"/>
              <w:jc w:val="left"/>
            </w:pPr>
            <w:r>
              <w:t xml:space="preserve">Regulatory Compliance</w:t>
            </w:r>
          </w:p>
        </w:tc>
        <w:tc>
          <w:tcPr/>
          <w:p>
            <w:pPr>
              <w:pStyle w:val="Compact"/>
              <w:jc w:val="left"/>
            </w:pPr>
            <w:r>
              <w:t xml:space="preserve">Evaluation of adherence to safety standards, environmental regulations, and legal requirements.</w:t>
            </w:r>
          </w:p>
        </w:tc>
      </w:tr>
      <w:tr>
        <w:tc>
          <w:tcPr/>
          <w:p>
            <w:pPr>
              <w:pStyle w:val="Compact"/>
              <w:jc w:val="left"/>
            </w:pPr>
            <w:r>
              <w:t xml:space="preserve">Problem-Solving Ability</w:t>
            </w:r>
          </w:p>
        </w:tc>
        <w:tc>
          <w:tcPr/>
          <w:p>
            <w:pPr>
              <w:pStyle w:val="Compact"/>
              <w:jc w:val="left"/>
            </w:pPr>
            <w:r>
              <w:t xml:space="preserve">Analysis of the engineer's capacity to diagnose and resolve technical issues efficiently.</w:t>
            </w:r>
          </w:p>
        </w:tc>
      </w:tr>
      <w:tr>
        <w:tc>
          <w:tcPr/>
          <w:p>
            <w:pPr>
              <w:pStyle w:val="Compact"/>
              <w:jc w:val="left"/>
            </w:pPr>
            <w:r>
              <w:t xml:space="preserve">Team Collaboration</w:t>
            </w:r>
          </w:p>
        </w:tc>
        <w:tc>
          <w:tcPr/>
          <w:p>
            <w:pPr>
              <w:pStyle w:val="Compact"/>
              <w:jc w:val="left"/>
            </w:pPr>
            <w:r>
              <w:t xml:space="preserve">Review of interactions with colleagues, suppliers, and stakeholders in Birmingham and beyond.</w:t>
            </w:r>
          </w:p>
        </w:tc>
      </w:tr>
      <w:tr>
        <w:tc>
          <w:tcPr/>
          <w:p>
            <w:pPr>
              <w:pStyle w:val="Compact"/>
              <w:jc w:val="left"/>
            </w:pPr>
            <w:r>
              <w:t xml:space="preserve">Professional Development</w:t>
            </w:r>
          </w:p>
        </w:tc>
        <w:tc>
          <w:tcPr/>
          <w:p>
            <w:pPr>
              <w:pStyle w:val="Compact"/>
              <w:jc w:val="left"/>
            </w:pPr>
            <w:r>
              <w:t xml:space="preserve">Examination of efforts to stay updated with industry advancements and enhance personal skills.</w:t>
            </w:r>
          </w:p>
        </w:tc>
      </w:tr>
    </w:tbl>
    <w:bookmarkEnd w:id="23"/>
    <w:bookmarkStart w:id="29"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Marine Engineer demonstrated a strong command of marine engineering systems, including propulsion, electrical, and auxiliary machinery. Their ability to perform routine maintenance and complex repairs was commendable, ensuring minimal downtime for vessels operating in the United Kingdom. The engineer's familiarity with advanced diagnostic tools and software further enhanced their technical contributions.</w:t>
      </w:r>
    </w:p>
    <w:bookmarkEnd w:id="24"/>
    <w:bookmarkStart w:id="25" w:name="regulatory-compliance"/>
    <w:p>
      <w:pPr>
        <w:pStyle w:val="Heading3"/>
      </w:pPr>
      <w:r>
        <w:t xml:space="preserve">4.2 Regulatory Compliance</w:t>
      </w:r>
    </w:p>
    <w:p>
      <w:pPr>
        <w:pStyle w:val="FirstParagraph"/>
      </w:pPr>
      <w:r>
        <w:t xml:space="preserve">Compliance with MCA regulations and international conventions was a standout aspect of the engineer's performance. They consistently ensured that all operations aligned with SOLAS and MARPOL requirements, reflecting a deep understanding of legal obligations. Additionally, their proactive approach to environmental sustainability, such as implementing fuel-efficient practices, was highly appreciated.</w:t>
      </w:r>
    </w:p>
    <w:bookmarkEnd w:id="25"/>
    <w:bookmarkStart w:id="26" w:name="problem-solving-ability"/>
    <w:p>
      <w:pPr>
        <w:pStyle w:val="Heading3"/>
      </w:pPr>
      <w:r>
        <w:t xml:space="preserve">4.3 Problem-Solving Ability</w:t>
      </w:r>
    </w:p>
    <w:p>
      <w:pPr>
        <w:pStyle w:val="FirstParagraph"/>
      </w:pPr>
      <w:r>
        <w:t xml:space="preserve">The engineer exhibited exceptional problem-solving skills, particularly in high-pressure situations. For instance, during a recent incident involving a malfunctioning engine on a vessel docked near Birmingham's inland waterways, they swiftly identified the root cause and implemented an effective solution, preventing potential delays and financial losses.</w:t>
      </w:r>
    </w:p>
    <w:bookmarkEnd w:id="26"/>
    <w:bookmarkStart w:id="27" w:name="team-collaboration"/>
    <w:p>
      <w:pPr>
        <w:pStyle w:val="Heading3"/>
      </w:pPr>
      <w:r>
        <w:t xml:space="preserve">4.4 Team Collaboration</w:t>
      </w:r>
    </w:p>
    <w:p>
      <w:pPr>
        <w:pStyle w:val="FirstParagraph"/>
      </w:pPr>
      <w:r>
        <w:t xml:space="preserve">Collaboration with local teams and suppliers in Birmingham was seamless. The engineer actively engaged with regional stakeholders to source high-quality materials and services, fostering strong professional relationships. Their leadership qualities were evident in mentoring junior engineers and promoting a culture of teamwork.</w:t>
      </w:r>
    </w:p>
    <w:bookmarkEnd w:id="27"/>
    <w:bookmarkStart w:id="28" w:name="professional-development"/>
    <w:p>
      <w:pPr>
        <w:pStyle w:val="Heading3"/>
      </w:pPr>
      <w:r>
        <w:t xml:space="preserve">4.5 Professional Development</w:t>
      </w:r>
    </w:p>
    <w:p>
      <w:pPr>
        <w:pStyle w:val="FirstParagraph"/>
      </w:pPr>
      <w:r>
        <w:t xml:space="preserve">The Marine Engineer showed a commitment to continuous learning by attending workshops, seminars, and training programs organized by industry bodies in the United Kingdom. Their efforts to stay informed about emerging technologies, such as hybrid propulsion systems, underscored their dedication to professional growth.</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Marine Engineer to pursue advanced certifications in specialized areas such as green marine technologies.</w:t>
      </w:r>
    </w:p>
    <w:p>
      <w:pPr>
        <w:numPr>
          <w:ilvl w:val="0"/>
          <w:numId w:val="1002"/>
        </w:numPr>
        <w:pStyle w:val="Compact"/>
      </w:pPr>
      <w:r>
        <w:t xml:space="preserve">Facilitate regular knowledge-sharing sessions with peers in Birmingham and other parts of the United Kingdom to foster innovation.</w:t>
      </w:r>
    </w:p>
    <w:p>
      <w:pPr>
        <w:numPr>
          <w:ilvl w:val="0"/>
          <w:numId w:val="1002"/>
        </w:numPr>
        <w:pStyle w:val="Compact"/>
      </w:pPr>
      <w:r>
        <w:t xml:space="preserve">Explore opportunities for the engineer to lead projects focused on improving operational efficiency and sustainability.</w:t>
      </w:r>
    </w:p>
    <w:bookmarkEnd w:id="30"/>
    <w:bookmarkStart w:id="31" w:name="conclusion"/>
    <w:p>
      <w:pPr>
        <w:pStyle w:val="Heading2"/>
      </w:pPr>
      <w:r>
        <w:t xml:space="preserve">6. Conclusion</w:t>
      </w:r>
    </w:p>
    <w:p>
      <w:pPr>
        <w:pStyle w:val="FirstParagraph"/>
      </w:pPr>
      <w:r>
        <w:t xml:space="preserve">In conclusion, the Marine Engineer under review has demonstrated outstanding technical expertise, regulatory compliance, and collaborative skills, making them a valuable asset to the maritime industry in the United Kingdom. Their contributions to operations in Birmingham and beyond highlight their professionalism and dedication to excellence. By addressing the recommendations outlined in this report, the engineer can further enhance their impact and continue to uphold the high standards expected of marine professionals.</w:t>
      </w:r>
    </w:p>
    <w:bookmarkEnd w:id="31"/>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United Kingdom Birmingham</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