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operating within the jurisdiction of Los Angeles, United States. The purpose of this review is to ensure that the engineer's work aligns with the rigorous expectations set by maritime regulatory bodies, including the United States Coast Guard (USCG), the American Bureau of Shipping (ABS), and other relevant organizations. This document serves as a formal assessment of the engineer's contributions to marine engineering projects, their ability to maintain and optimize marine systems, and their commitment to safety, sustainability, and innovation.</w:t>
      </w:r>
    </w:p>
    <w:p>
      <w:pPr>
        <w:pStyle w:val="BodyText"/>
      </w:pPr>
      <w:r>
        <w:t xml:space="preserve">Los Angeles, as one of the busiest ports in the United States, plays a critical role in global trade and maritime operations. The unique challenges posed by this environment—such as high vessel traffic, stringent environmental regulations, and the need for advanced technological integration—require Marine Engineers to demonstrate exceptional skills and adaptability. This report evaluates the subject engineer's performance in light of these demands.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marine propulsion systems, auxiliary machinery, and electrical systems.</w:t>
      </w:r>
    </w:p>
    <w:p>
      <w:pPr>
        <w:numPr>
          <w:ilvl w:val="0"/>
          <w:numId w:val="1001"/>
        </w:numPr>
        <w:pStyle w:val="Compact"/>
      </w:pPr>
      <w:r>
        <w:t xml:space="preserve">Compliance with USCG regulations, ABS standards, and international maritime conventions.</w:t>
      </w:r>
    </w:p>
    <w:p>
      <w:pPr>
        <w:numPr>
          <w:ilvl w:val="0"/>
          <w:numId w:val="1001"/>
        </w:numPr>
        <w:pStyle w:val="Compact"/>
      </w:pPr>
      <w:r>
        <w:t xml:space="preserve">Ability to troubleshoot and resolve complex engineering issues in a timely manner.</w:t>
      </w:r>
    </w:p>
    <w:p>
      <w:pPr>
        <w:numPr>
          <w:ilvl w:val="0"/>
          <w:numId w:val="1001"/>
        </w:numPr>
        <w:pStyle w:val="Compact"/>
      </w:pPr>
      <w:r>
        <w:t xml:space="preserve">Leadership and teamwork skills in collaborative environments.</w:t>
      </w:r>
    </w:p>
    <w:p>
      <w:pPr>
        <w:numPr>
          <w:ilvl w:val="0"/>
          <w:numId w:val="1001"/>
        </w:numPr>
        <w:pStyle w:val="Compact"/>
      </w:pPr>
      <w:r>
        <w:t xml:space="preserve">Commitment to safety protocols and environmental sustainability.</w:t>
      </w:r>
    </w:p>
    <w:p>
      <w:pPr>
        <w:numPr>
          <w:ilvl w:val="0"/>
          <w:numId w:val="1001"/>
        </w:numPr>
        <w:pStyle w:val="Compact"/>
      </w:pPr>
      <w:r>
        <w:t xml:space="preserve">Innovation and adoption of emerging technologies in marine engineering.</w:t>
      </w:r>
    </w:p>
    <w:p>
      <w:pPr>
        <w:pStyle w:val="FirstParagraph"/>
      </w:pPr>
      <w:r>
        <w:t xml:space="preserve">The review is based on documented evidence, including project reports, maintenance logs, peer feedback, and direct observations of the engineer's work over the past 12 months.</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Competence</w:t>
            </w:r>
          </w:p>
        </w:tc>
        <w:tc>
          <w:tcPr/>
          <w:p>
            <w:pPr>
              <w:pStyle w:val="Compact"/>
              <w:jc w:val="left"/>
            </w:pPr>
            <w:r>
              <w:t xml:space="preserve">Depth of knowledge and application of marine engineering principles.</w:t>
            </w:r>
          </w:p>
        </w:tc>
        <w:tc>
          <w:tcPr/>
          <w:p>
            <w:pPr>
              <w:pStyle w:val="Compact"/>
              <w:jc w:val="left"/>
            </w:pPr>
            <w:r>
              <w:t xml:space="preserve">5</w:t>
            </w:r>
          </w:p>
        </w:tc>
      </w:tr>
      <w:tr>
        <w:tc>
          <w:tcPr/>
          <w:p>
            <w:pPr>
              <w:pStyle w:val="Compact"/>
              <w:jc w:val="left"/>
            </w:pPr>
            <w:r>
              <w:t xml:space="preserve">Regulatory Compliance</w:t>
            </w:r>
          </w:p>
        </w:tc>
        <w:tc>
          <w:tcPr/>
          <w:p>
            <w:pPr>
              <w:pStyle w:val="Compact"/>
              <w:jc w:val="left"/>
            </w:pPr>
            <w:r>
              <w:t xml:space="preserve">Adherence to USCG, ABS, and international standards.</w:t>
            </w:r>
          </w:p>
        </w:tc>
        <w:tc>
          <w:tcPr/>
          <w:p>
            <w:pPr>
              <w:pStyle w:val="Compact"/>
              <w:jc w:val="left"/>
            </w:pPr>
            <w:r>
              <w:t xml:space="preserve">5</w:t>
            </w:r>
          </w:p>
        </w:tc>
      </w:tr>
      <w:tr>
        <w:tc>
          <w:tcPr/>
          <w:p>
            <w:pPr>
              <w:pStyle w:val="Compact"/>
              <w:jc w:val="left"/>
            </w:pPr>
            <w:r>
              <w:t xml:space="preserve">Problem-Solving Skills</w:t>
            </w:r>
          </w:p>
        </w:tc>
        <w:tc>
          <w:tcPr/>
          <w:p>
            <w:pPr>
              <w:pStyle w:val="Compact"/>
              <w:jc w:val="left"/>
            </w:pPr>
            <w:r>
              <w:t xml:space="preserve">Ability to diagnose and resolve technical issues efficiently.</w:t>
            </w:r>
          </w:p>
        </w:tc>
        <w:tc>
          <w:tcPr/>
          <w:p>
            <w:pPr>
              <w:pStyle w:val="Compact"/>
              <w:jc w:val="left"/>
            </w:pPr>
            <w:r>
              <w:t xml:space="preserve">4</w:t>
            </w:r>
          </w:p>
        </w:tc>
      </w:tr>
      <w:tr>
        <w:tc>
          <w:tcPr/>
          <w:p>
            <w:pPr>
              <w:pStyle w:val="Compact"/>
              <w:jc w:val="left"/>
            </w:pPr>
            <w:r>
              <w:t xml:space="preserve">Leadership and Teamwork</w:t>
            </w:r>
          </w:p>
        </w:tc>
        <w:tc>
          <w:tcPr/>
          <w:p>
            <w:pPr>
              <w:pStyle w:val="Compact"/>
              <w:jc w:val="left"/>
            </w:pPr>
            <w:r>
              <w:t xml:space="preserve">Effectiveness in leading teams and collaborating with stakeholders.</w:t>
            </w:r>
          </w:p>
        </w:tc>
        <w:tc>
          <w:tcPr/>
          <w:p>
            <w:pPr>
              <w:pStyle w:val="Compact"/>
              <w:jc w:val="left"/>
            </w:pPr>
            <w:r>
              <w:t xml:space="preserve">4</w:t>
            </w:r>
          </w:p>
        </w:tc>
      </w:tr>
      <w:tr>
        <w:tc>
          <w:tcPr/>
          <w:p>
            <w:pPr>
              <w:pStyle w:val="Compact"/>
              <w:jc w:val="left"/>
            </w:pPr>
            <w:r>
              <w:t xml:space="preserve">Safety and Sustainability</w:t>
            </w:r>
          </w:p>
        </w:tc>
        <w:tc>
          <w:tcPr/>
          <w:p>
            <w:pPr>
              <w:pStyle w:val="Compact"/>
              <w:jc w:val="left"/>
            </w:pPr>
            <w:r>
              <w:t xml:space="preserve">Commitment to safety protocols and environmentally responsible practices.</w:t>
            </w:r>
          </w:p>
        </w:tc>
        <w:tc>
          <w:tcPr/>
          <w:p>
            <w:pPr>
              <w:pStyle w:val="Compact"/>
              <w:jc w:val="left"/>
            </w:pPr>
            <w:r>
              <w:t xml:space="preserve">5</w:t>
            </w:r>
          </w:p>
        </w:tc>
      </w:tr>
      <w:tr>
        <w:tc>
          <w:tcPr/>
          <w:p>
            <w:pPr>
              <w:pStyle w:val="Compact"/>
              <w:jc w:val="left"/>
            </w:pPr>
            <w:r>
              <w:t xml:space="preserve">Innovation</w:t>
            </w:r>
          </w:p>
        </w:tc>
        <w:tc>
          <w:tcPr/>
          <w:p>
            <w:pPr>
              <w:pStyle w:val="Compact"/>
              <w:jc w:val="left"/>
            </w:pPr>
            <w:r>
              <w:t xml:space="preserve">Adoption of new technologies and creative solutions.</w:t>
            </w:r>
          </w:p>
        </w:tc>
        <w:tc>
          <w:tcPr/>
          <w:p>
            <w:pPr>
              <w:pStyle w:val="Compact"/>
              <w:jc w:val="left"/>
            </w:pPr>
            <w:r>
              <w:t xml:space="preserve">4</w:t>
            </w:r>
          </w:p>
        </w:tc>
      </w:tr>
    </w:tbl>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Marine Engineer under review has demonstrated exceptional technical competence in the design, operation, and maintenance of marine systems. Their expertise in propulsion systems, including diesel engines, gas turbines, and hybrid systems, is evident in their successful completion of multiple projects at the Port of Los Angeles. The engineer's ability to optimize fuel efficiency and reduce emissions aligns with the port's sustainability goals, showcasing their understanding of both technical and environmental considerations.</w:t>
      </w:r>
    </w:p>
    <w:bookmarkEnd w:id="24"/>
    <w:bookmarkStart w:id="25" w:name="regulatory-compliance"/>
    <w:p>
      <w:pPr>
        <w:pStyle w:val="Heading3"/>
      </w:pPr>
      <w:r>
        <w:t xml:space="preserve">4.2 Regulatory Compliance</w:t>
      </w:r>
    </w:p>
    <w:p>
      <w:pPr>
        <w:pStyle w:val="FirstParagraph"/>
      </w:pPr>
      <w:r>
        <w:t xml:space="preserve">Compliance with regulatory standards is a cornerstone of marine engineering, particularly in a highly regulated environment like Los Angeles. The engineer has consistently adhered to USCG regulations, ABS guidelines, and international conventions such as MARPOL and SOLAS. Their meticulous documentation and proactive approach to audits have ensured that all projects meet or exceed regulatory requirements.</w:t>
      </w:r>
    </w:p>
    <w:bookmarkEnd w:id="25"/>
    <w:bookmarkStart w:id="26" w:name="problem-solving-skills"/>
    <w:p>
      <w:pPr>
        <w:pStyle w:val="Heading3"/>
      </w:pPr>
      <w:r>
        <w:t xml:space="preserve">4.3 Problem-Solving Skills</w:t>
      </w:r>
    </w:p>
    <w:p>
      <w:pPr>
        <w:pStyle w:val="FirstParagraph"/>
      </w:pPr>
      <w:r>
        <w:t xml:space="preserve">The engineer has shown strong problem-solving skills, particularly in high-pressure situations. For example, during a recent incident involving a malfunctioning auxiliary generator on a cargo vessel, the engineer quickly diagnosed the issue, implemented a temporary fix, and coordinated with suppliers to replace the faulty component. This incident highlights their ability to think critically and act decisively under pressure.</w:t>
      </w:r>
    </w:p>
    <w:bookmarkEnd w:id="26"/>
    <w:bookmarkStart w:id="27" w:name="leadership-and-teamwork"/>
    <w:p>
      <w:pPr>
        <w:pStyle w:val="Heading3"/>
      </w:pPr>
      <w:r>
        <w:t xml:space="preserve">4.4 Leadership and Teamwork</w:t>
      </w:r>
    </w:p>
    <w:p>
      <w:pPr>
        <w:pStyle w:val="FirstParagraph"/>
      </w:pPr>
      <w:r>
        <w:t xml:space="preserve">As a leader, the engineer has fostered a collaborative and inclusive work environment. They have effectively managed multidisciplinary teams, ensuring clear communication and alignment of goals. Feedback from peers and subordinates indicates that the engineer is approachable, supportive, and committed to professional development.</w:t>
      </w:r>
    </w:p>
    <w:bookmarkEnd w:id="27"/>
    <w:bookmarkStart w:id="28" w:name="safety-and-sustainability"/>
    <w:p>
      <w:pPr>
        <w:pStyle w:val="Heading3"/>
      </w:pPr>
      <w:r>
        <w:t xml:space="preserve">4.5 Safety and Sustainability</w:t>
      </w:r>
    </w:p>
    <w:p>
      <w:pPr>
        <w:pStyle w:val="FirstParagraph"/>
      </w:pPr>
      <w:r>
        <w:t xml:space="preserve">Safety is paramount in marine engineering, and the engineer has consistently prioritized it in their work. They have implemented rigorous safety protocols, conducted regular training sessions, and promoted a culture of accountability. Additionally, their focus on sustainability—such as integrating energy-efficient technologies and reducing waste—reflects a forward-thinking approach to marine engineering.</w:t>
      </w:r>
    </w:p>
    <w:bookmarkEnd w:id="28"/>
    <w:bookmarkStart w:id="29" w:name="innovation"/>
    <w:p>
      <w:pPr>
        <w:pStyle w:val="Heading3"/>
      </w:pPr>
      <w:r>
        <w:t xml:space="preserve">4.6 Innovation</w:t>
      </w:r>
    </w:p>
    <w:p>
      <w:pPr>
        <w:pStyle w:val="FirstParagraph"/>
      </w:pPr>
      <w:r>
        <w:t xml:space="preserve">The engineer has embraced innovation by exploring emerging technologies such as digital twins, predictive maintenance, and alternative fuels. Their efforts to integrate these technologies into existing systems have improved operational efficiency and reduced downtime, demonstrating their commitment to staying at the forefront of the industry.</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professional development opportunities, particularly in emerging technologies and sustainability practices.</w:t>
      </w:r>
    </w:p>
    <w:p>
      <w:pPr>
        <w:numPr>
          <w:ilvl w:val="0"/>
          <w:numId w:val="1002"/>
        </w:numPr>
        <w:pStyle w:val="Compact"/>
      </w:pPr>
      <w:r>
        <w:t xml:space="preserve">Enhance cross-functional collaboration by engaging more closely with environmental and regulatory experts.</w:t>
      </w:r>
    </w:p>
    <w:p>
      <w:pPr>
        <w:numPr>
          <w:ilvl w:val="0"/>
          <w:numId w:val="1002"/>
        </w:numPr>
        <w:pStyle w:val="Compact"/>
      </w:pPr>
      <w:r>
        <w:t xml:space="preserve">Document and share best practices to contribute to the broader marine engineering community in Los Angeles and beyond.</w:t>
      </w:r>
    </w:p>
    <w:bookmarkEnd w:id="31"/>
    <w:bookmarkStart w:id="32" w:name="conclusion"/>
    <w:p>
      <w:pPr>
        <w:pStyle w:val="Heading2"/>
      </w:pPr>
      <w:r>
        <w:t xml:space="preserve">6. Conclusion</w:t>
      </w:r>
    </w:p>
    <w:p>
      <w:pPr>
        <w:pStyle w:val="FirstParagraph"/>
      </w:pPr>
      <w:r>
        <w:t xml:space="preserve">In conclusion, the Marine Engineer under review has demonstrated outstanding technical competence, regulatory compliance, and leadership skills. Their contributions to marine engineering projects in Los Angeles have been significant, and their commitment to safety, sustainability, and innovation positions them as a valuable asset to the industry. This Peer Review Report affirms their ability to meet the high standards expected of marine engineers in the United States and recommends their continued involvement in critical maritime operations.</w:t>
      </w:r>
    </w:p>
    <w:bookmarkEnd w:id="32"/>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Los Angeles Maritime Authority</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