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Miami,</w:t>
      </w:r>
      <w:r>
        <w:t xml:space="preserve"> </w:t>
      </w:r>
      <w:r>
        <w:t xml:space="preserve">United</w:t>
      </w:r>
      <w:r>
        <w:t xml:space="preserve"> </w:t>
      </w:r>
      <w:r>
        <w:t xml:space="preserve">States</w:t>
      </w:r>
    </w:p>
    <w:bookmarkStart w:id="28"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Report ID:</w:t>
            </w:r>
            <w:r>
              <w:t xml:space="preserve"> </w:t>
            </w:r>
            <w:r>
              <w:t xml:space="preserve">PR-MIA-2023-089</w:t>
            </w:r>
          </w:p>
        </w:tc>
        <w:tc>
          <w:tcPr/>
          <w:p>
            <w:pPr>
              <w:pStyle w:val="Compact"/>
              <w:jc w:val="left"/>
            </w:pPr>
            <w:r>
              <w:rPr>
                <w:bCs/>
                <w:b/>
              </w:rPr>
              <w:t xml:space="preserve">Date of Review:</w:t>
            </w:r>
            <w:r>
              <w:t xml:space="preserve"> </w:t>
            </w:r>
            <w:r>
              <w:t xml:space="preserve">October 24, 2023</w:t>
            </w:r>
          </w:p>
        </w:tc>
      </w:tr>
      <w:tr>
        <w:tc>
          <w:tcPr/>
          <w:p>
            <w:pPr>
              <w:pStyle w:val="Compact"/>
              <w:jc w:val="left"/>
            </w:pPr>
            <w:r>
              <w:rPr>
                <w:bCs/>
                <w:b/>
              </w:rPr>
              <w:t xml:space="preserve">Location:</w:t>
            </w:r>
            <w:r>
              <w:t xml:space="preserve"> </w:t>
            </w:r>
            <w:r>
              <w:t xml:space="preserve">Miami, Florida, United States</w:t>
            </w:r>
          </w:p>
        </w:tc>
        <w:tc>
          <w:tcPr/>
          <w:p>
            <w:pPr>
              <w:pStyle w:val="Compact"/>
              <w:jc w:val="left"/>
            </w:pPr>
            <w:r>
              <w:rPr>
                <w:bCs/>
                <w:b/>
              </w:rPr>
              <w:t xml:space="preserve">Facility:</w:t>
            </w:r>
            <w:r>
              <w:t xml:space="preserve"> </w:t>
            </w:r>
            <w:r>
              <w:t xml:space="preserve">Port of Miami Marine Operations Center</w:t>
            </w:r>
          </w:p>
        </w:tc>
      </w:tr>
    </w:tbl>
    <w:bookmarkStart w:id="20" w:name="subject-information"/>
    <w:p>
      <w:pPr>
        <w:pStyle w:val="Heading2"/>
      </w:pPr>
      <w:r>
        <w:t xml:space="preserve">1.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Name of Engineer:</w:t>
            </w:r>
          </w:p>
        </w:tc>
        <w:tc>
          <w:tcPr/>
          <w:p>
            <w:pPr>
              <w:pStyle w:val="Compact"/>
              <w:jc w:val="left"/>
            </w:pPr>
            <w:r>
              <w:t xml:space="preserve">John A. Doe</w:t>
            </w:r>
          </w:p>
        </w:tc>
      </w:tr>
      <w:tr>
        <w:tc>
          <w:tcPr/>
          <w:p>
            <w:pPr>
              <w:pStyle w:val="Compact"/>
              <w:jc w:val="left"/>
            </w:pPr>
            <w:r>
              <w:rPr>
                <w:bCs/>
                <w:b/>
              </w:rPr>
              <w:t xml:space="preserve">Position:</w:t>
            </w:r>
          </w:p>
        </w:tc>
        <w:tc>
          <w:tcPr/>
          <w:p>
            <w:pPr>
              <w:pStyle w:val="Compact"/>
              <w:jc w:val="left"/>
            </w:pPr>
            <w:r>
              <w:t xml:space="preserve">Senior Marine Engineer</w:t>
            </w:r>
          </w:p>
        </w:tc>
      </w:tr>
      <w:tr>
        <w:tc>
          <w:tcPr/>
          <w:p>
            <w:pPr>
              <w:pStyle w:val="Compact"/>
              <w:jc w:val="left"/>
            </w:pPr>
            <w:r>
              <w:rPr>
                <w:bCs/>
                <w:b/>
              </w:rPr>
              <w:t xml:space="preserve">Department:</w:t>
            </w:r>
          </w:p>
        </w:tc>
        <w:tc>
          <w:tcPr/>
          <w:p>
            <w:pPr>
              <w:pStyle w:val="Compact"/>
              <w:jc w:val="left"/>
            </w:pPr>
            <w:r>
              <w:t xml:space="preserve">Propulsion and Auxiliary Systems</w:t>
            </w:r>
          </w:p>
        </w:tc>
      </w:tr>
      <w:tr>
        <w:tc>
          <w:tcPr/>
          <w:p>
            <w:pPr>
              <w:pStyle w:val="Compact"/>
              <w:jc w:val="left"/>
            </w:pPr>
            <w:r>
              <w:rPr>
                <w:bCs/>
                <w:b/>
              </w:rPr>
              <w:t xml:space="preserve">License Status:</w:t>
            </w:r>
          </w:p>
        </w:tc>
        <w:tc>
          <w:tcPr/>
          <w:p>
            <w:pPr>
              <w:pStyle w:val="Compact"/>
              <w:jc w:val="left"/>
            </w:pPr>
            <w:r>
              <w:t xml:space="preserve">USCG Chief Engineer Unlimited</w:t>
            </w:r>
          </w:p>
        </w:tc>
      </w:tr>
      <w:tr>
        <w:tc>
          <w:tcPr/>
          <w:p>
            <w:pPr>
              <w:pStyle w:val="Compact"/>
              <w:jc w:val="left"/>
            </w:pPr>
            <w:r>
              <w:rPr>
                <w:bCs/>
                <w:b/>
              </w:rPr>
              <w:t xml:space="preserve">Review Period:</w:t>
            </w:r>
          </w:p>
        </w:tc>
        <w:tc>
          <w:tcPr/>
          <w:p>
            <w:pPr>
              <w:pStyle w:val="Compact"/>
              <w:jc w:val="left"/>
            </w:pPr>
            <w:r>
              <w:t xml:space="preserve">January 1, 2023 – October 1, 2023</w:t>
            </w:r>
          </w:p>
        </w:tc>
      </w:tr>
    </w:tbl>
    <w:bookmarkEnd w:id="20"/>
    <w:bookmarkStart w:id="21" w:name="executive-summary"/>
    <w:p>
      <w:pPr>
        <w:pStyle w:val="Heading2"/>
      </w:pPr>
      <w:r>
        <w:t xml:space="preserve">2. Executive Summary</w:t>
      </w:r>
    </w:p>
    <w:p>
      <w:pPr>
        <w:pStyle w:val="FirstParagraph"/>
      </w:pPr>
      <w:r>
        <w:t xml:space="preserve">This Peer Review Report serves as a formal evaluation of the professional competency, technical proficiency, and operational conduct of the subject Marine Engineer. The review was conducted in accordance with the standards set by the United States Coast Guard (USCG) and the specific operational requirements of the Port of Miami. Given Miami's status as a critical hub for international cruise traffic and cargo logistics, the expectations for engineering excellence are exceptionally high. This report assesses the engineer's ability to maintain complex marine machinery, ensure regulatory compliance, and lead technical teams within the unique environmental and logistical context of South Florida.</w:t>
      </w:r>
    </w:p>
    <w:bookmarkEnd w:id="21"/>
    <w:bookmarkStart w:id="22" w:name="X011aa73864f8747a92b7efe9bcb15e6d23f383c"/>
    <w:p>
      <w:pPr>
        <w:pStyle w:val="Heading2"/>
      </w:pPr>
      <w:r>
        <w:t xml:space="preserve">3. Technical Competency and Engineering Proficiency</w:t>
      </w:r>
    </w:p>
    <w:p>
      <w:pPr>
        <w:pStyle w:val="FirstParagraph"/>
      </w:pPr>
      <w:r>
        <w:t xml:space="preserve">The primary focus of this review is the technical capability of the Marine Engineer. Over the review period, the subject demonstrated a robust understanding of modern marine propulsion systems, including diesel-electric configurations and LNG-fueled auxiliary engines increasingly common in vessels docking in Miami.</w:t>
      </w:r>
    </w:p>
    <w:p>
      <w:pPr>
        <w:pStyle w:val="BodyText"/>
      </w:pPr>
      <w:r>
        <w:rPr>
          <w:bCs/>
          <w:b/>
        </w:rPr>
        <w:t xml:space="preserve">Maintenance and Repair:</w:t>
      </w:r>
      <w:r>
        <w:t xml:space="preserve"> </w:t>
      </w:r>
      <w:r>
        <w:t xml:space="preserve">The engineer has shown exceptional skill in predictive maintenance strategies. By utilizing vibration analysis and oil sampling data, the subject successfully identified potential bearing failures in the main propulsion shafting of two major vessels before they resulted in downtime. This proactive approach is vital in the high-traffic environment of Miami, where schedule adherence is paramount.</w:t>
      </w:r>
    </w:p>
    <w:p>
      <w:pPr>
        <w:pStyle w:val="BodyText"/>
      </w:pPr>
      <w:r>
        <w:rPr>
          <w:bCs/>
          <w:b/>
        </w:rPr>
        <w:t xml:space="preserve">Systems Integration:</w:t>
      </w:r>
      <w:r>
        <w:t xml:space="preserve"> </w:t>
      </w:r>
      <w:r>
        <w:t xml:space="preserve">The review highlights the engineer's proficiency in managing integrated bridge and engine room systems. The subject effectively coordinated with the navigation team to optimize fuel consumption during transit through the Miami Ship Channel, demonstrating a holistic understanding of ship operations.</w:t>
      </w:r>
    </w:p>
    <w:bookmarkEnd w:id="22"/>
    <w:bookmarkStart w:id="23" w:name="Xc1bf6019d7c7f546cd756b019a9b2d8bdab0c79"/>
    <w:p>
      <w:pPr>
        <w:pStyle w:val="Heading2"/>
      </w:pPr>
      <w:r>
        <w:t xml:space="preserve">4. Regulatory Compliance and Safety Standards</w:t>
      </w:r>
    </w:p>
    <w:p>
      <w:pPr>
        <w:pStyle w:val="FirstParagraph"/>
      </w:pPr>
      <w:r>
        <w:t xml:space="preserve">Operating in the United States requires strict adherence to federal and state regulations. This section evaluates the engineer's compliance with USCG regulations, Environmental Protection Agency (EPA) guidelines, and local Florida environmental statutes.</w:t>
      </w:r>
    </w:p>
    <w:p>
      <w:pPr>
        <w:pStyle w:val="BodyText"/>
      </w:pPr>
      <w:r>
        <w:rPr>
          <w:bCs/>
          <w:b/>
        </w:rPr>
        <w:t xml:space="preserve">Environmental Compliance:</w:t>
      </w:r>
      <w:r>
        <w:t xml:space="preserve"> </w:t>
      </w:r>
      <w:r>
        <w:t xml:space="preserve">Miami is particularly sensitive to environmental protection due to its proximity to the Everglades and coral reef ecosystems. The Marine Engineer under review has maintained impeccable records regarding ballast water management and sewage treatment systems. There were zero violations of the Clean Water Act during the review period. The engineer implemented new scrubber maintenance protocols that reduced sulfur oxide emissions, aligning with the stringent air quality standards of the region.</w:t>
      </w:r>
    </w:p>
    <w:p>
      <w:pPr>
        <w:pStyle w:val="BodyText"/>
      </w:pPr>
      <w:r>
        <w:rPr>
          <w:bCs/>
          <w:b/>
        </w:rPr>
        <w:t xml:space="preserve">Safety Protocols:</w:t>
      </w:r>
      <w:r>
        <w:t xml:space="preserve"> </w:t>
      </w:r>
      <w:r>
        <w:t xml:space="preserve">The subject strictly enforced the International Safety Management (ISM) Code. During a simulated emergency drill involving a main engine room fire, the engineer directed the team with precision, ensuring all safety procedures were followed and communication with the bridge was clear and concise.</w:t>
      </w:r>
    </w:p>
    <w:bookmarkEnd w:id="23"/>
    <w:bookmarkStart w:id="24" w:name="leadership-and-team-management"/>
    <w:p>
      <w:pPr>
        <w:pStyle w:val="Heading2"/>
      </w:pPr>
      <w:r>
        <w:t xml:space="preserve">5. Leadership and Team Management</w:t>
      </w:r>
    </w:p>
    <w:p>
      <w:pPr>
        <w:pStyle w:val="FirstParagraph"/>
      </w:pPr>
      <w:r>
        <w:t xml:space="preserve">A Marine Engineer in a major port like Miami often oversees a diverse crew. This review assesses the subject's leadership qualities, communication skills, and ability to manage multicultural teams.</w:t>
      </w:r>
    </w:p>
    <w:p>
      <w:pPr>
        <w:pStyle w:val="BodyText"/>
      </w:pPr>
      <w:r>
        <w:t xml:space="preserve">The engineer has fostered a culture of safety and continuous improvement. Feedback from junior engineers and technicians indicates that the subject is approachable and provides constructive mentorship. The engineer successfully managed a shift transition during a critical dry-docking period, ensuring that all technical handovers were documented accurately and that safety briefings were conducted in multiple languages to accommodate the diverse workforce.</w:t>
      </w:r>
    </w:p>
    <w:bookmarkEnd w:id="24"/>
    <w:bookmarkStart w:id="25" w:name="adaptability-to-local-conditions"/>
    <w:p>
      <w:pPr>
        <w:pStyle w:val="Heading2"/>
      </w:pPr>
      <w:r>
        <w:t xml:space="preserve">6. Adaptability to Local Conditions</w:t>
      </w:r>
    </w:p>
    <w:p>
      <w:pPr>
        <w:pStyle w:val="FirstParagraph"/>
      </w:pPr>
      <w:r>
        <w:t xml:space="preserve">The specific geography and climate of Miami present unique challenges, including high humidity, salt spray corrosion, and hurricane season risks. The Marine Engineer demonstrated excellent adaptability to these conditions.</w:t>
      </w:r>
    </w:p>
    <w:p>
      <w:pPr>
        <w:pStyle w:val="BodyText"/>
      </w:pPr>
      <w:r>
        <w:rPr>
          <w:bCs/>
          <w:b/>
        </w:rPr>
        <w:t xml:space="preserve">Corrosion Control:</w:t>
      </w:r>
      <w:r>
        <w:t xml:space="preserve"> </w:t>
      </w:r>
      <w:r>
        <w:t xml:space="preserve">The subject implemented an enhanced cathodic protection inspection schedule, significantly reducing corrosion rates on underwater hull components.</w:t>
      </w:r>
    </w:p>
    <w:p>
      <w:pPr>
        <w:pStyle w:val="BodyText"/>
      </w:pPr>
      <w:r>
        <w:rPr>
          <w:bCs/>
          <w:b/>
        </w:rPr>
        <w:t xml:space="preserve">Storm Preparedness:</w:t>
      </w:r>
      <w:r>
        <w:t xml:space="preserve"> </w:t>
      </w:r>
      <w:r>
        <w:t xml:space="preserve">During the 2023 hurricane season, the engineer played a key role in securing vessel machinery against high winds and potential flooding. The preparation of emergency power systems and the securing of loose equipment were executed flawlessly, ensuring the safety of the vessel and the crew during Tropical Storm "Alpha."</w:t>
      </w:r>
    </w:p>
    <w:bookmarkEnd w:id="25"/>
    <w:bookmarkStart w:id="26" w:name="areas-for-improvement"/>
    <w:p>
      <w:pPr>
        <w:pStyle w:val="Heading2"/>
      </w:pPr>
      <w:r>
        <w:t xml:space="preserve">7. Areas for Improvement</w:t>
      </w:r>
    </w:p>
    <w:p>
      <w:pPr>
        <w:pStyle w:val="FirstParagraph"/>
      </w:pPr>
      <w:r>
        <w:t xml:space="preserve">While the performance has been largely exemplary, the following areas were identified for further development:</w:t>
      </w:r>
    </w:p>
    <w:p>
      <w:pPr>
        <w:numPr>
          <w:ilvl w:val="0"/>
          <w:numId w:val="1001"/>
        </w:numPr>
        <w:pStyle w:val="Compact"/>
      </w:pPr>
      <w:r>
        <w:rPr>
          <w:bCs/>
          <w:b/>
        </w:rPr>
        <w:t xml:space="preserve">Digitalization:</w:t>
      </w:r>
      <w:r>
        <w:t xml:space="preserve"> </w:t>
      </w:r>
      <w:r>
        <w:t xml:space="preserve">The engineer should further engage with emerging digital twin technologies for engine monitoring, which are becoming standard in the industry.</w:t>
      </w:r>
    </w:p>
    <w:p>
      <w:pPr>
        <w:numPr>
          <w:ilvl w:val="0"/>
          <w:numId w:val="1001"/>
        </w:numPr>
        <w:pStyle w:val="Compact"/>
      </w:pPr>
      <w:r>
        <w:rPr>
          <w:bCs/>
          <w:b/>
        </w:rPr>
        <w:t xml:space="preserve">Documentation Speed:</w:t>
      </w:r>
      <w:r>
        <w:t xml:space="preserve"> </w:t>
      </w:r>
      <w:r>
        <w:t xml:space="preserve">While accurate, the logging of maintenance records occasionally lags behind real-time operations. Implementing a more streamlined digital logging process is recommended.</w:t>
      </w:r>
    </w:p>
    <w:bookmarkEnd w:id="26"/>
    <w:bookmarkStart w:id="27" w:name="conclusion-and-recommendation"/>
    <w:p>
      <w:pPr>
        <w:pStyle w:val="Heading2"/>
      </w:pPr>
      <w:r>
        <w:t xml:space="preserve">8. Conclusion and Recommendation</w:t>
      </w:r>
    </w:p>
    <w:p>
      <w:pPr>
        <w:pStyle w:val="FirstParagraph"/>
      </w:pPr>
      <w:r>
        <w:t xml:space="preserve">Based on the comprehensive evaluation of technical skills, regulatory compliance, leadership, and adaptability to the Miami operating environment, this Peer Review Report concludes that the Marine Engineer is performing at a superior level. The subject's contributions have directly enhanced the operational reliability and safety of the vessels under their care.</w:t>
      </w:r>
    </w:p>
    <w:p>
      <w:pPr>
        <w:pStyle w:val="BodyText"/>
      </w:pPr>
      <w:r>
        <w:rPr>
          <w:bCs/>
          <w:b/>
        </w:rPr>
        <w:t xml:space="preserve">Recommendation:</w:t>
      </w:r>
      <w:r>
        <w:t xml:space="preserve"> </w:t>
      </w:r>
      <w:r>
        <w:t xml:space="preserve">The subject is recommended for continued employment and is eligible for consideration for a promotion to Chief Engineer of Fleet Operations.</w:t>
      </w:r>
    </w:p>
    <w:p>
      <w:pPr>
        <w:pStyle w:val="BodyText"/>
      </w:pPr>
      <w:r>
        <w:rPr>
          <w:bCs/>
          <w:b/>
        </w:rPr>
        <w:t xml:space="preserve">Reviewed By:</w:t>
      </w:r>
    </w:p>
    <w:p>
      <w:pPr>
        <w:pStyle w:val="BodyText"/>
      </w:pPr>
      <w:r>
        <w:t xml:space="preserve">James R. Smith, P.E.</w:t>
      </w:r>
    </w:p>
    <w:p>
      <w:pPr>
        <w:pStyle w:val="BodyText"/>
      </w:pPr>
      <w:r>
        <w:t xml:space="preserve">Senior Naval Architect</w:t>
      </w:r>
    </w:p>
    <w:p>
      <w:pPr>
        <w:pStyle w:val="BodyText"/>
      </w:pPr>
      <w:r>
        <w:t xml:space="preserve">Florida Board of Professional Engineers</w:t>
      </w:r>
    </w:p>
    <w:p>
      <w:pPr>
        <w:pStyle w:val="BodyText"/>
      </w:pPr>
      <w:r>
        <w:rPr>
          <w:bCs/>
          <w:b/>
        </w:rPr>
        <w:t xml:space="preserve">Approved By:</w:t>
      </w:r>
    </w:p>
    <w:p>
      <w:pPr>
        <w:pStyle w:val="BodyText"/>
      </w:pPr>
      <w:r>
        <w:t xml:space="preserve">Sarah L. Connor</w:t>
      </w:r>
    </w:p>
    <w:p>
      <w:pPr>
        <w:pStyle w:val="BodyText"/>
      </w:pPr>
      <w:r>
        <w:t xml:space="preserve">Director of Marine Operations</w:t>
      </w:r>
    </w:p>
    <w:p>
      <w:pPr>
        <w:pStyle w:val="BodyText"/>
      </w:pPr>
      <w:r>
        <w:t xml:space="preserve">Port of Miami Authority</w:t>
      </w:r>
    </w:p>
    <w:p>
      <w:pPr>
        <w:pStyle w:val="BodyText"/>
      </w:pPr>
      <w:r>
        <w:t xml:space="preserve">© 2023 Port of Miami Marine Operations. Confidential Document.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Miami, United States</dc:title>
  <dc:creator/>
  <dc:language>en</dc:language>
  <cp:keywords/>
  <dcterms:created xsi:type="dcterms:W3CDTF">2026-10-10T03:54:36Z</dcterms:created>
  <dcterms:modified xsi:type="dcterms:W3CDTF">2026-10-10T03:54:36Z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