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Mathematician Contributions and Methodologies</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contributions, methodologies, and impact of a Mathematician operating within the academic and professional landscape of Morocco Casablanca. The purpose of this review is to provide an objective evaluation of the Mathematician's work, focusing on its relevance, rigor, and potential for advancement in both theoretical and applied mathematics. The report is structured to address key aspects of the Mathematician's research, teaching, and collaboration efforts, ensuring alignment with the standards expected in the Moroccan academic community and beyond.</w:t>
      </w:r>
    </w:p>
    <w:bookmarkEnd w:id="21"/>
    <w:bookmarkStart w:id="22" w:name="background-and-context"/>
    <w:p>
      <w:pPr>
        <w:pStyle w:val="Heading2"/>
      </w:pPr>
      <w:r>
        <w:t xml:space="preserve">2. Background and Context</w:t>
      </w:r>
    </w:p>
    <w:p>
      <w:pPr>
        <w:pStyle w:val="FirstParagraph"/>
      </w:pPr>
      <w:r>
        <w:t xml:space="preserve">Morocco Casablanca is a hub of intellectual and economic activity in North Africa, with a growing emphasis on STEM fields, including mathematics. The city hosts several prestigious institutions, such as Hassan II University of Casablanca and ENSEM (National School of Applied Sciences), which foster research and innovation in mathematical sciences. Within this context, the Mathematician under review has been actively engaged in advancing mathematical knowledge through research, education, and interdisciplinary collaboration. This report evaluates their contributions against the backdrop of these institutional and regional priorities.</w:t>
      </w:r>
    </w:p>
    <w:bookmarkEnd w:id="22"/>
    <w:bookmarkStart w:id="25" w:name="research-contributions"/>
    <w:p>
      <w:pPr>
        <w:pStyle w:val="Heading2"/>
      </w:pPr>
      <w:r>
        <w:t xml:space="preserve">3. Research Contributions</w:t>
      </w:r>
    </w:p>
    <w:bookmarkStart w:id="23" w:name="theoretical-work"/>
    <w:p>
      <w:pPr>
        <w:pStyle w:val="Heading3"/>
      </w:pPr>
      <w:r>
        <w:t xml:space="preserve">3.1 Theoretical Work</w:t>
      </w:r>
    </w:p>
    <w:p>
      <w:pPr>
        <w:pStyle w:val="FirstParagraph"/>
      </w:pPr>
      <w:r>
        <w:t xml:space="preserve">The Mathematician has demonstrated a strong commitment to theoretical research, particularly in areas such as algebraic geometry, number theory, and functional analysis. Their publications in peer-reviewed journals reflect a high level of technical proficiency and originality. For instance, their recent work on modular forms has been recognized for its clarity and depth, contributing to ongoing discussions in the field. However, there is room for further exploration of connections between their theoretical findings and practical applications, which could enhance the impact of their research.</w:t>
      </w:r>
    </w:p>
    <w:bookmarkEnd w:id="23"/>
    <w:bookmarkStart w:id="24" w:name="applied-mathematics"/>
    <w:p>
      <w:pPr>
        <w:pStyle w:val="Heading3"/>
      </w:pPr>
      <w:r>
        <w:t xml:space="preserve">3.2 Applied Mathematics</w:t>
      </w:r>
    </w:p>
    <w:p>
      <w:pPr>
        <w:pStyle w:val="FirstParagraph"/>
      </w:pPr>
      <w:r>
        <w:t xml:space="preserve">In addition to theoretical contributions, the Mathematician has shown interest in applied mathematics, particularly in solving real-world problems relevant to Morocco Casablanca. Their work on optimization models for urban planning and resource allocation aligns well with the city's developmental goals. These efforts highlight the Mathematician's ability to bridge the gap between abstract concepts and tangible solutions, making their research valuable to policymakers and industry stakeholders.</w:t>
      </w:r>
    </w:p>
    <w:bookmarkEnd w:id="24"/>
    <w:bookmarkEnd w:id="25"/>
    <w:bookmarkStart w:id="26" w:name="teaching-and-mentorship"/>
    <w:p>
      <w:pPr>
        <w:pStyle w:val="Heading2"/>
      </w:pPr>
      <w:r>
        <w:t xml:space="preserve">4. Teaching and Mentorship</w:t>
      </w:r>
    </w:p>
    <w:p>
      <w:pPr>
        <w:pStyle w:val="FirstParagraph"/>
      </w:pPr>
      <w:r>
        <w:t xml:space="preserve">The Mathematician has been actively involved in teaching at the undergraduate and graduate levels, delivering courses in advanced calculus, linear algebra, and mathematical modeling. Feedback from students indicates that their teaching style is engaging and accessible, with a focus on fostering critical thinking and problem-solving skills. Furthermore, the Mathematician has mentored several young researchers, guiding them through their thesis projects and helping them secure positions in academia and industry. This dedication to nurturing the next generation of mathematicians is a significant strength.</w:t>
      </w:r>
    </w:p>
    <w:bookmarkEnd w:id="26"/>
    <w:bookmarkStart w:id="27" w:name="collaboration-and-networking"/>
    <w:p>
      <w:pPr>
        <w:pStyle w:val="Heading2"/>
      </w:pPr>
      <w:r>
        <w:t xml:space="preserve">5. Collaboration and Networking</w:t>
      </w:r>
    </w:p>
    <w:p>
      <w:pPr>
        <w:pStyle w:val="FirstParagraph"/>
      </w:pPr>
      <w:r>
        <w:t xml:space="preserve">Collaboration is a cornerstone of modern mathematical research, and the Mathematician has excelled in this area. They have established partnerships with researchers from other institutions in Morocco Casablanca, as well as international collaborators in Europe and North America. These collaborations have led to joint publications, conference presentations, and grant proposals, enhancing the visibility of their work. Additionally, the Mathematician has participated in organizing workshops and seminars, contributing to the vibrant mathematical community in the region.</w:t>
      </w:r>
    </w:p>
    <w:bookmarkEnd w:id="27"/>
    <w:bookmarkStart w:id="30" w:name="strengths-and-areas-for-improvement"/>
    <w:p>
      <w:pPr>
        <w:pStyle w:val="Heading2"/>
      </w:pPr>
      <w:r>
        <w:t xml:space="preserve">6. Strengths and Areas for Improvement</w:t>
      </w:r>
    </w:p>
    <w:bookmarkStart w:id="28" w:name="strengths"/>
    <w:p>
      <w:pPr>
        <w:pStyle w:val="Heading3"/>
      </w:pPr>
      <w:r>
        <w:t xml:space="preserve">6.1 Strengths</w:t>
      </w:r>
    </w:p>
    <w:p>
      <w:pPr>
        <w:numPr>
          <w:ilvl w:val="0"/>
          <w:numId w:val="1001"/>
        </w:numPr>
        <w:pStyle w:val="Compact"/>
      </w:pPr>
      <w:r>
        <w:t xml:space="preserve">Strong foundation in both theoretical and applied mathematics.</w:t>
      </w:r>
    </w:p>
    <w:p>
      <w:pPr>
        <w:numPr>
          <w:ilvl w:val="0"/>
          <w:numId w:val="1001"/>
        </w:numPr>
        <w:pStyle w:val="Compact"/>
      </w:pPr>
      <w:r>
        <w:t xml:space="preserve">Effective communication skills, evident in publications and teaching.</w:t>
      </w:r>
    </w:p>
    <w:p>
      <w:pPr>
        <w:numPr>
          <w:ilvl w:val="0"/>
          <w:numId w:val="1001"/>
        </w:numPr>
        <w:pStyle w:val="Compact"/>
      </w:pPr>
      <w:r>
        <w:t xml:space="preserve">Commitment to mentoring and supporting young researchers.</w:t>
      </w:r>
    </w:p>
    <w:p>
      <w:pPr>
        <w:numPr>
          <w:ilvl w:val="0"/>
          <w:numId w:val="1001"/>
        </w:numPr>
        <w:pStyle w:val="Compact"/>
      </w:pPr>
      <w:r>
        <w:t xml:space="preserve">Active participation in collaborative projects and professional networks.</w:t>
      </w:r>
    </w:p>
    <w:bookmarkEnd w:id="28"/>
    <w:bookmarkStart w:id="29" w:name="areas-for-improvement"/>
    <w:p>
      <w:pPr>
        <w:pStyle w:val="Heading3"/>
      </w:pPr>
      <w:r>
        <w:t xml:space="preserve">6.2 Areas for Improvement</w:t>
      </w:r>
    </w:p>
    <w:p>
      <w:pPr>
        <w:numPr>
          <w:ilvl w:val="0"/>
          <w:numId w:val="1002"/>
        </w:numPr>
        <w:pStyle w:val="Compact"/>
      </w:pPr>
      <w:r>
        <w:t xml:space="preserve">Greater emphasis on translating theoretical results into practical applications.</w:t>
      </w:r>
    </w:p>
    <w:p>
      <w:pPr>
        <w:numPr>
          <w:ilvl w:val="0"/>
          <w:numId w:val="1002"/>
        </w:numPr>
        <w:pStyle w:val="Compact"/>
      </w:pPr>
      <w:r>
        <w:t xml:space="preserve">Increased engagement with interdisciplinary fields, such as data science and artificial intelligence.</w:t>
      </w:r>
    </w:p>
    <w:p>
      <w:pPr>
        <w:numPr>
          <w:ilvl w:val="0"/>
          <w:numId w:val="1002"/>
        </w:numPr>
        <w:pStyle w:val="Compact"/>
      </w:pPr>
      <w:r>
        <w:t xml:space="preserve">More frequent participation in international conferences to broaden their academic network.</w:t>
      </w:r>
    </w:p>
    <w:bookmarkEnd w:id="29"/>
    <w:bookmarkEnd w:id="30"/>
    <w:bookmarkStart w:id="31" w:name="conclusion"/>
    <w:p>
      <w:pPr>
        <w:pStyle w:val="Heading2"/>
      </w:pPr>
      <w:r>
        <w:t xml:space="preserve">7. Conclusion</w:t>
      </w:r>
    </w:p>
    <w:p>
      <w:pPr>
        <w:pStyle w:val="FirstParagraph"/>
      </w:pPr>
      <w:r>
        <w:t xml:space="preserve">In conclusion, this Peer Review Report highlights the significant contributions of the Mathematician to the field of mathematics in Morocco Casablanca. Their work exemplifies a balance between theoretical rigor and practical relevance, making them a valuable asset to the academic and professional community. While there are areas for improvement, particularly in terms of interdisciplinary engagement and international visibility, the Mathematician's overall performance is commendable. It is recommended that they continue to build on their strengths while addressing the identified areas for growth, thereby further enhancing their impact in the field.</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Mathematician</w:t>
      </w:r>
    </w:p>
    <w:p>
      <w:pPr>
        <w:pStyle w:val="BodyText"/>
      </w:pPr>
      <w:r>
        <w:rPr>
          <w:bCs/>
          <w:b/>
        </w:rPr>
        <w:t xml:space="preserve">Institution:</w:t>
      </w:r>
      <w:r>
        <w:t xml:space="preserve"> </w:t>
      </w:r>
      <w:r>
        <w:t xml:space="preserve">[Institution Name],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Morocco Casablanca</dc:title>
  <dc:creator/>
  <dc:language>en</dc:language>
  <cp:keywords/>
  <dcterms:created xsi:type="dcterms:W3CDTF">2026-10-10T09:18:04Z</dcterms:created>
  <dcterms:modified xsi:type="dcterms:W3CDTF">2026-10-10T09:18:04Z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