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t xml:space="preserve">Academic and Professional Evaluation of Mathematical Competence</w:t>
      </w:r>
    </w:p>
    <w:bookmarkEnd w:id="20"/>
    <w:p>
      <w:pPr>
        <w:pStyle w:val="BodyText"/>
      </w:pPr>
      <w:r>
        <w:rPr>
          <w:bCs/>
          <w:b/>
        </w:rPr>
        <w:t xml:space="preserve">Subject:</w:t>
      </w:r>
      <w:r>
        <w:t xml:space="preserve"> </w:t>
      </w:r>
      <w:r>
        <w:t xml:space="preserve">Evaluation of Mathematician Candidate</w:t>
      </w:r>
    </w:p>
    <w:p>
      <w:pPr>
        <w:pStyle w:val="BodyText"/>
      </w:pPr>
      <w:r>
        <w:rPr>
          <w:bCs/>
          <w:b/>
        </w:rPr>
        <w:t xml:space="preserve">Location Context:</w:t>
      </w:r>
      <w:r>
        <w:t xml:space="preserve"> </w:t>
      </w:r>
      <w:r>
        <w:t xml:space="preserve">Netherlands Amsterdam</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Department of Mathematics &amp; Data Science</w:t>
      </w:r>
    </w:p>
    <w:p>
      <w:pPr>
        <w:pStyle w:val="BodyText"/>
      </w:pPr>
      <w:r>
        <w:rPr>
          <w:bCs/>
          <w:b/>
        </w:rPr>
        <w:t xml:space="preserve">Reference ID:</w:t>
      </w:r>
      <w:r>
        <w:t xml:space="preserve"> </w:t>
      </w:r>
      <w:r>
        <w:t xml:space="preserve">AMS-MATH-2023-089</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a candidate applying for the position of</w:t>
      </w:r>
      <w:r>
        <w:t xml:space="preserve"> </w:t>
      </w:r>
      <w:r>
        <w:rPr>
          <w:bCs/>
          <w:b/>
        </w:rPr>
        <w:t xml:space="preserve">Mathematician</w:t>
      </w:r>
      <w:r>
        <w:t xml:space="preserve"> </w:t>
      </w:r>
      <w:r>
        <w:t xml:space="preserve">within a leading research institution located in</w:t>
      </w:r>
      <w:r>
        <w:t xml:space="preserve"> </w:t>
      </w:r>
      <w:r>
        <w:rPr>
          <w:bCs/>
          <w:b/>
        </w:rPr>
        <w:t xml:space="preserve">Netherlands Amsterdam</w:t>
      </w:r>
      <w:r>
        <w:t xml:space="preserve">. The review process was conducted in accordance with the rigorous academic standards upheld by Dutch universities and research centers, such as the University of Amsterdam (UvA) and the Centrum Wiskunde &amp; Informatica (CWI). The primary objective of this assessment was to determine the candidate's technical proficiency, research potential, and ability to integrate into the vibrant mathematical community of Amsterdam.</w:t>
      </w:r>
    </w:p>
    <w:p>
      <w:pPr>
        <w:pStyle w:val="BodyText"/>
      </w:pPr>
      <w:r>
        <w:t xml:space="preserve">The panel has concluded that the candidate demonstrates exceptional theoretical knowledge and practical application skills. The evaluation highlights a strong alignment between the candidate's research interests and the current strategic priorities of mathematical research in the Netherlands.</w:t>
      </w:r>
    </w:p>
    <w:bookmarkEnd w:id="21"/>
    <w:bookmarkStart w:id="24" w:name="evaluation-of-mathematical-competence"/>
    <w:p>
      <w:pPr>
        <w:pStyle w:val="Heading2"/>
      </w:pPr>
      <w:r>
        <w:t xml:space="preserve">2. Evaluation of Mathematical Competence</w:t>
      </w:r>
    </w:p>
    <w:p>
      <w:pPr>
        <w:pStyle w:val="FirstParagraph"/>
      </w:pPr>
      <w:r>
        <w:t xml:space="preserve">As a</w:t>
      </w:r>
      <w:r>
        <w:t xml:space="preserve"> </w:t>
      </w:r>
      <w:r>
        <w:rPr>
          <w:bCs/>
          <w:b/>
        </w:rPr>
        <w:t xml:space="preserve">Mathematician</w:t>
      </w:r>
      <w:r>
        <w:t xml:space="preserve">, the candidate was assessed on their depth of understanding in core areas including algebraic geometry, stochastic processes, and numerical analysis. The review panel examined the candidate's published works and technical presentations.</w:t>
      </w:r>
    </w:p>
    <w:bookmarkStart w:id="22" w:name="theoretical-rigor"/>
    <w:p>
      <w:pPr>
        <w:pStyle w:val="Heading3"/>
      </w:pPr>
      <w:r>
        <w:t xml:space="preserve">2.1 Theoretical Rigor</w:t>
      </w:r>
    </w:p>
    <w:p>
      <w:pPr>
        <w:pStyle w:val="FirstParagraph"/>
      </w:pPr>
      <w:r>
        <w:t xml:space="preserve">The candidate exhibits a profound grasp of abstract mathematical structures. Their approach to problem-solving reflects the high standards expected of a</w:t>
      </w:r>
      <w:r>
        <w:t xml:space="preserve"> </w:t>
      </w:r>
      <w:r>
        <w:rPr>
          <w:bCs/>
          <w:b/>
        </w:rPr>
        <w:t xml:space="preserve">Mathematician</w:t>
      </w:r>
      <w:r>
        <w:t xml:space="preserve"> </w:t>
      </w:r>
      <w:r>
        <w:t xml:space="preserve">operating in the competitive environment of</w:t>
      </w:r>
      <w:r>
        <w:t xml:space="preserve"> </w:t>
      </w:r>
      <w:r>
        <w:rPr>
          <w:bCs/>
          <w:b/>
        </w:rPr>
        <w:t xml:space="preserve">Netherlands Amsterdam</w:t>
      </w:r>
      <w:r>
        <w:t xml:space="preserve">. The logical consistency of their proofs and the clarity of their derivations were rated as outstanding.</w:t>
      </w:r>
    </w:p>
    <w:bookmarkEnd w:id="22"/>
    <w:bookmarkStart w:id="23" w:name="Xc25a457d06e6fd9d0f4425cb36cdd07e1e2a900"/>
    <w:p>
      <w:pPr>
        <w:pStyle w:val="Heading3"/>
      </w:pPr>
      <w:r>
        <w:t xml:space="preserve">2.2 Applied Mathematics and Interdisciplinary Work</w:t>
      </w:r>
    </w:p>
    <w:p>
      <w:pPr>
        <w:pStyle w:val="FirstParagraph"/>
      </w:pPr>
      <w:r>
        <w:t xml:space="preserve">Given Amsterdam's status as a hub for fintech and data science, the ability of a</w:t>
      </w:r>
      <w:r>
        <w:t xml:space="preserve"> </w:t>
      </w:r>
      <w:r>
        <w:rPr>
          <w:bCs/>
          <w:b/>
        </w:rPr>
        <w:t xml:space="preserve">Mathematician</w:t>
      </w:r>
      <w:r>
        <w:t xml:space="preserve"> </w:t>
      </w:r>
      <w:r>
        <w:t xml:space="preserve">to bridge pure theory with application is crucial. The candidate successfully demonstrated this by applying advanced statistical models to real-world datasets. This versatility is highly valued in the Dutch academic-industrial ecosystem.</w:t>
      </w:r>
    </w:p>
    <w:bookmarkEnd w:id="23"/>
    <w:bookmarkEnd w:id="24"/>
    <w:bookmarkStart w:id="25" w:name="research-impact-and-publications"/>
    <w:p>
      <w:pPr>
        <w:pStyle w:val="Heading2"/>
      </w:pPr>
      <w:r>
        <w:t xml:space="preserve">3. Research Impact and Publications</w:t>
      </w:r>
    </w:p>
    <w:p>
      <w:pPr>
        <w:pStyle w:val="FirstParagraph"/>
      </w:pPr>
      <w:r>
        <w:t xml:space="preserve">This section of the</w:t>
      </w:r>
      <w:r>
        <w:t xml:space="preserve"> </w:t>
      </w:r>
      <w:r>
        <w:rPr>
          <w:bCs/>
          <w:b/>
        </w:rPr>
        <w:t xml:space="preserve">Peer Review Report</w:t>
      </w:r>
      <w:r>
        <w:t xml:space="preserve"> </w:t>
      </w:r>
      <w:r>
        <w:t xml:space="preserve">analyzes the candidate's contribution to the global body of mathematical knowledge.</w:t>
      </w:r>
    </w:p>
    <w:p>
      <w:pPr>
        <w:numPr>
          <w:ilvl w:val="0"/>
          <w:numId w:val="1001"/>
        </w:numPr>
        <w:pStyle w:val="Compact"/>
      </w:pPr>
      <w:r>
        <w:rPr>
          <w:bCs/>
          <w:b/>
        </w:rPr>
        <w:t xml:space="preserve">Quality of Journals:</w:t>
      </w:r>
      <w:r>
        <w:t xml:space="preserve"> </w:t>
      </w:r>
      <w:r>
        <w:t xml:space="preserve">The candidate has published in top-tier international journals, maintaining the prestige associated with Dutch mathematical research.</w:t>
      </w:r>
    </w:p>
    <w:p>
      <w:pPr>
        <w:numPr>
          <w:ilvl w:val="0"/>
          <w:numId w:val="1001"/>
        </w:numPr>
        <w:pStyle w:val="Compact"/>
      </w:pPr>
      <w:r>
        <w:rPr>
          <w:bCs/>
          <w:b/>
        </w:rPr>
        <w:t xml:space="preserve">Citation Impact:</w:t>
      </w:r>
      <w:r>
        <w:t xml:space="preserve"> </w:t>
      </w:r>
      <w:r>
        <w:t xml:space="preserve">The candidate's work has been cited frequently by peers, indicating a significant influence on current research trends.</w:t>
      </w:r>
    </w:p>
    <w:p>
      <w:pPr>
        <w:numPr>
          <w:ilvl w:val="0"/>
          <w:numId w:val="1001"/>
        </w:numPr>
        <w:pStyle w:val="Compact"/>
      </w:pPr>
      <w:r>
        <w:rPr>
          <w:bCs/>
          <w:b/>
        </w:rPr>
        <w:t xml:space="preserve">Collaboration:</w:t>
      </w:r>
      <w:r>
        <w:t xml:space="preserve"> </w:t>
      </w:r>
      <w:r>
        <w:t xml:space="preserve">Evidence of collaboration with researchers in</w:t>
      </w:r>
      <w:r>
        <w:t xml:space="preserve"> </w:t>
      </w:r>
      <w:r>
        <w:rPr>
          <w:bCs/>
          <w:b/>
        </w:rPr>
        <w:t xml:space="preserve">Netherlands Amsterdam</w:t>
      </w:r>
      <w:r>
        <w:t xml:space="preserve"> </w:t>
      </w:r>
      <w:r>
        <w:t xml:space="preserve">suggests a strong network and the ability to work within the local academic community.</w:t>
      </w:r>
    </w:p>
    <w:p>
      <w:pPr>
        <w:pStyle w:val="FirstParagraph"/>
      </w:pPr>
      <w:r>
        <w:t xml:space="preserve">The panel notes that the candidate's research agenda complements the existing strengths of the host institution, potentially elevating the profile of the department on an international stage.</w:t>
      </w:r>
    </w:p>
    <w:bookmarkEnd w:id="25"/>
    <w:bookmarkStart w:id="28" w:name="Xd89aa8ce62d90e6b705dff3324cec35e4101281"/>
    <w:p>
      <w:pPr>
        <w:pStyle w:val="Heading2"/>
      </w:pPr>
      <w:r>
        <w:t xml:space="preserve">4. Integration into the Netherlands Amsterdam Ecosystem</w:t>
      </w:r>
    </w:p>
    <w:p>
      <w:pPr>
        <w:pStyle w:val="FirstParagraph"/>
      </w:pPr>
      <w:r>
        <w:t xml:space="preserve">A critical component of this</w:t>
      </w:r>
      <w:r>
        <w:t xml:space="preserve"> </w:t>
      </w:r>
      <w:r>
        <w:rPr>
          <w:bCs/>
          <w:b/>
        </w:rPr>
        <w:t xml:space="preserve">Peer Review Report</w:t>
      </w:r>
      <w:r>
        <w:t xml:space="preserve"> </w:t>
      </w:r>
      <w:r>
        <w:t xml:space="preserve">is the assessment of the candidate's fit within the specific context of</w:t>
      </w:r>
      <w:r>
        <w:t xml:space="preserve"> </w:t>
      </w:r>
      <w:r>
        <w:rPr>
          <w:bCs/>
          <w:b/>
        </w:rPr>
        <w:t xml:space="preserve">Netherlands Amsterdam</w:t>
      </w:r>
      <w:r>
        <w:t xml:space="preserve">. The city is renowned for its open, collaborative, and flat-hierarchy academic culture.</w:t>
      </w:r>
    </w:p>
    <w:bookmarkStart w:id="26" w:name="cultural-and-professional-fit"/>
    <w:p>
      <w:pPr>
        <w:pStyle w:val="Heading3"/>
      </w:pPr>
      <w:r>
        <w:t xml:space="preserve">4.1 Cultural and Professional Fit</w:t>
      </w:r>
    </w:p>
    <w:p>
      <w:pPr>
        <w:pStyle w:val="FirstParagraph"/>
      </w:pPr>
      <w:r>
        <w:t xml:space="preserve">The candidate has demonstrated an understanding of the Dutch working style, which emphasizes direct communication, consensus-building, and work-life balance. As a</w:t>
      </w:r>
      <w:r>
        <w:t xml:space="preserve"> </w:t>
      </w:r>
      <w:r>
        <w:rPr>
          <w:bCs/>
          <w:b/>
        </w:rPr>
        <w:t xml:space="preserve">Mathematician</w:t>
      </w:r>
      <w:r>
        <w:t xml:space="preserve"> </w:t>
      </w:r>
      <w:r>
        <w:t xml:space="preserve">in Amsterdam, the ability to collaborate across disciplines—often with computer scientists, economists, and biologists—is essential. The candidate's interview responses indicated a high level of adaptability and enthusiasm for interdisciplinary projects.</w:t>
      </w:r>
    </w:p>
    <w:bookmarkEnd w:id="26"/>
    <w:bookmarkStart w:id="27" w:name="language-and-communication"/>
    <w:p>
      <w:pPr>
        <w:pStyle w:val="Heading3"/>
      </w:pPr>
      <w:r>
        <w:t xml:space="preserve">4.2 Language and Communication</w:t>
      </w:r>
    </w:p>
    <w:p>
      <w:pPr>
        <w:pStyle w:val="FirstParagraph"/>
      </w:pPr>
      <w:r>
        <w:t xml:space="preserve">While English is the primary language of mathematics and research in the Netherlands, the candidate's willingness to engage with the local community is noted. Their ability to present complex mathematical concepts clearly to non-specialists is a significant asset for securing funding and public engagement, which are key priorities for institutions in Amsterdam.</w:t>
      </w:r>
    </w:p>
    <w:bookmarkEnd w:id="27"/>
    <w:bookmarkEnd w:id="28"/>
    <w:bookmarkStart w:id="29" w:name="teaching-and-mentorship-potential"/>
    <w:p>
      <w:pPr>
        <w:pStyle w:val="Heading2"/>
      </w:pPr>
      <w:r>
        <w:t xml:space="preserve">5. Teaching and Mentorship Potential</w:t>
      </w:r>
    </w:p>
    <w:p>
      <w:pPr>
        <w:pStyle w:val="FirstParagraph"/>
      </w:pPr>
      <w:r>
        <w:t xml:space="preserve">Dutch universities place a strong emphasis on the dual role of research and teaching. This</w:t>
      </w:r>
      <w:r>
        <w:t xml:space="preserve"> </w:t>
      </w:r>
      <w:r>
        <w:rPr>
          <w:bCs/>
          <w:b/>
        </w:rPr>
        <w:t xml:space="preserve">Peer Review Report</w:t>
      </w:r>
      <w:r>
        <w:t xml:space="preserve"> </w:t>
      </w:r>
      <w:r>
        <w:t xml:space="preserve">evaluates the candidate's potential as an educator.</w:t>
      </w:r>
    </w:p>
    <w:p>
      <w:pPr>
        <w:pStyle w:val="BodyText"/>
      </w:pPr>
      <w:r>
        <w:t xml:space="preserve">The candidate has a proven track record of mentoring graduate students and delivering lectures. Their pedagogical approach aligns with the interactive and critical-thinking-focused methods common in</w:t>
      </w:r>
      <w:r>
        <w:t xml:space="preserve"> </w:t>
      </w:r>
      <w:r>
        <w:rPr>
          <w:bCs/>
          <w:b/>
        </w:rPr>
        <w:t xml:space="preserve">Netherlands Amsterdam</w:t>
      </w:r>
      <w:r>
        <w:t xml:space="preserve"> </w:t>
      </w:r>
      <w:r>
        <w:t xml:space="preserve">higher education. The panel is confident that the candidate will inspire the next generation of</w:t>
      </w:r>
      <w:r>
        <w:t xml:space="preserve"> </w:t>
      </w:r>
      <w:r>
        <w:rPr>
          <w:bCs/>
          <w:b/>
        </w:rPr>
        <w:t xml:space="preserve">Mathematician</w:t>
      </w:r>
      <w:r>
        <w:t xml:space="preserve">s and contribute positively to the student body.</w:t>
      </w:r>
    </w:p>
    <w:bookmarkEnd w:id="29"/>
    <w:bookmarkStart w:id="30" w:name="overall-assessment-and-recommendation"/>
    <w:p>
      <w:pPr>
        <w:pStyle w:val="Heading2"/>
      </w:pPr>
      <w:r>
        <w:t xml:space="preserve">6. Overall Assessment and Recommendation</w:t>
      </w:r>
    </w:p>
    <w:p>
      <w:pPr>
        <w:pStyle w:val="FirstParagraph"/>
      </w:pPr>
      <w:r>
        <w:rPr>
          <w:bCs/>
          <w:b/>
        </w:rPr>
        <w:t xml:space="preserve">Overall Rating:</w:t>
      </w:r>
    </w:p>
    <w:p>
      <w:pPr>
        <w:pStyle w:val="BodyText"/>
      </w:pPr>
      <w:r>
        <w:t xml:space="preserve">Excellent</w:t>
      </w:r>
    </w:p>
    <w:p>
      <w:pPr>
        <w:pStyle w:val="BodyText"/>
      </w:pPr>
      <w:r>
        <w:rPr>
          <w:bCs/>
          <w:b/>
        </w:rPr>
        <w:t xml:space="preserve">Recommendation:</w:t>
      </w:r>
      <w:r>
        <w:t xml:space="preserve"> </w:t>
      </w:r>
      <w:r>
        <w:t xml:space="preserve">Strongly Recommended for Appointment</w:t>
      </w:r>
    </w:p>
    <w:p>
      <w:pPr>
        <w:pStyle w:val="BodyText"/>
      </w:pPr>
      <w:r>
        <w:t xml:space="preserve">Based on the comprehensive analysis presented in this</w:t>
      </w:r>
      <w:r>
        <w:t xml:space="preserve"> </w:t>
      </w:r>
      <w:r>
        <w:rPr>
          <w:bCs/>
          <w:b/>
        </w:rPr>
        <w:t xml:space="preserve">Peer Review Report</w:t>
      </w:r>
      <w:r>
        <w:t xml:space="preserve">, the panel unanimously recommends the appointment of the candidate as a</w:t>
      </w:r>
      <w:r>
        <w:t xml:space="preserve"> </w:t>
      </w:r>
      <w:r>
        <w:rPr>
          <w:bCs/>
          <w:b/>
        </w:rPr>
        <w:t xml:space="preserve">Mathematician</w:t>
      </w:r>
      <w:r>
        <w:t xml:space="preserve"> </w:t>
      </w:r>
      <w:r>
        <w:t xml:space="preserve">at the institution in</w:t>
      </w:r>
      <w:r>
        <w:t xml:space="preserve"> </w:t>
      </w:r>
      <w:r>
        <w:rPr>
          <w:bCs/>
          <w:b/>
        </w:rPr>
        <w:t xml:space="preserve">Netherlands Amsterdam</w:t>
      </w:r>
      <w:r>
        <w:t xml:space="preserve">. The candidate possesses the intellectual depth, research productivity, and interpersonal skills necessary to thrive in this environment.</w:t>
      </w:r>
    </w:p>
    <w:p>
      <w:pPr>
        <w:pStyle w:val="BodyText"/>
      </w:pPr>
      <w:r>
        <w:t xml:space="preserve">Their appointment will not only strengthen the department's research output but also enhance its reputation within the broader European mathematical community. The candidate is well-positioned to contribute to the innovative spirit that defines Amsterdam as a global center for science and technology.</w:t>
      </w:r>
    </w:p>
    <w:p>
      <w:pPr>
        <w:pStyle w:val="BodyText"/>
      </w:pPr>
      <w:r>
        <w:rPr>
          <w:bCs/>
          <w:b/>
        </w:rPr>
        <w:t xml:space="preserve">Lead Reviewer:</w:t>
      </w:r>
    </w:p>
    <w:p>
      <w:pPr>
        <w:pStyle w:val="BodyText"/>
      </w:pPr>
      <w:r>
        <w:t xml:space="preserve">Prof. Dr. J. van der Berg</w:t>
      </w:r>
    </w:p>
    <w:p>
      <w:pPr>
        <w:pStyle w:val="BodyText"/>
      </w:pPr>
      <w:r>
        <w:t xml:space="preserve">Chair of the Peer Review Committee</w:t>
      </w:r>
    </w:p>
    <w:p>
      <w:pPr>
        <w:pStyle w:val="BodyText"/>
      </w:pPr>
      <w:r>
        <w:t xml:space="preserve">Department of Mathematics, Amsterdam</w:t>
      </w:r>
    </w:p>
    <w:p>
      <w:pPr>
        <w:pStyle w:val="BodyText"/>
      </w:pPr>
      <w:r>
        <w:t xml:space="preserve">This document is confidential and intended solely for the use of the authorized recipient. © 2023 Peer Review Committee, Netherlands Amsterdam.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Netherlands Amsterdam</dc:title>
  <dc:creator/>
  <dc:language>en</dc:language>
  <cp:keywords/>
  <dcterms:created xsi:type="dcterms:W3CDTF">2026-10-10T08:37:35Z</dcterms:created>
  <dcterms:modified xsi:type="dcterms:W3CDTF">2026-10-10T08:37:35Z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